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DD" w:rsidRDefault="00B96CD5">
      <w:pPr>
        <w:pStyle w:val="a3"/>
        <w:ind w:left="5488"/>
        <w:rPr>
          <w:rFonts w:ascii="Times New Roman"/>
          <w:sz w:val="20"/>
        </w:rPr>
      </w:pPr>
      <w:r>
        <w:rPr>
          <w:rFonts w:ascii="Times New Roman"/>
          <w:noProof/>
          <w:sz w:val="20"/>
          <w:lang w:bidi="he-IL"/>
        </w:rPr>
        <w:drawing>
          <wp:inline distT="0" distB="0" distL="0" distR="0">
            <wp:extent cx="3423036" cy="11201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23036" cy="1120140"/>
                    </a:xfrm>
                    <a:prstGeom prst="rect">
                      <a:avLst/>
                    </a:prstGeom>
                  </pic:spPr>
                </pic:pic>
              </a:graphicData>
            </a:graphic>
          </wp:inline>
        </w:drawing>
      </w:r>
    </w:p>
    <w:p w:rsidR="002107DD" w:rsidRDefault="002107DD">
      <w:pPr>
        <w:rPr>
          <w:rFonts w:ascii="Times New Roman"/>
          <w:sz w:val="20"/>
        </w:rPr>
        <w:sectPr w:rsidR="002107DD">
          <w:type w:val="continuous"/>
          <w:pgSz w:w="12240" w:h="15840"/>
          <w:pgMar w:top="700" w:right="620" w:bottom="280" w:left="620" w:header="720" w:footer="720" w:gutter="0"/>
          <w:pgBorders w:offsetFrom="page">
            <w:top w:val="single" w:sz="4" w:space="24" w:color="BEBEBE"/>
            <w:left w:val="single" w:sz="4" w:space="24" w:color="BEBEBE"/>
            <w:bottom w:val="single" w:sz="4" w:space="24" w:color="BEBEBE"/>
            <w:right w:val="single" w:sz="4" w:space="24" w:color="BEBEBE"/>
          </w:pgBorders>
          <w:cols w:space="720"/>
        </w:sectPr>
      </w:pPr>
    </w:p>
    <w:p w:rsidR="002107DD" w:rsidRDefault="00B96CD5" w:rsidP="00B96CD5">
      <w:pPr>
        <w:spacing w:before="15"/>
        <w:ind w:left="100"/>
        <w:rPr>
          <w:b/>
          <w:sz w:val="32"/>
        </w:rPr>
      </w:pPr>
      <w:r>
        <w:rPr>
          <w:b/>
          <w:sz w:val="32"/>
        </w:rPr>
        <w:t>Technical Datasheet</w:t>
      </w:r>
    </w:p>
    <w:p w:rsidR="00B96CD5" w:rsidRDefault="00B96CD5" w:rsidP="00B96CD5">
      <w:pPr>
        <w:spacing w:before="15"/>
        <w:ind w:left="100"/>
        <w:rPr>
          <w:b/>
          <w:sz w:val="32"/>
        </w:rPr>
      </w:pPr>
      <w:proofErr w:type="spellStart"/>
      <w:r>
        <w:rPr>
          <w:b/>
          <w:sz w:val="32"/>
        </w:rPr>
        <w:t>Holdtite</w:t>
      </w:r>
      <w:proofErr w:type="spellEnd"/>
      <w:r>
        <w:rPr>
          <w:b/>
          <w:sz w:val="32"/>
        </w:rPr>
        <w:t xml:space="preserve"> T70</w:t>
      </w:r>
    </w:p>
    <w:p w:rsidR="002107DD" w:rsidRDefault="00B96CD5">
      <w:pPr>
        <w:pStyle w:val="1"/>
        <w:spacing w:before="261"/>
      </w:pPr>
      <w:r>
        <w:t>Product Description</w:t>
      </w:r>
    </w:p>
    <w:p w:rsidR="002107DD" w:rsidRDefault="00B96CD5" w:rsidP="00B96CD5">
      <w:pPr>
        <w:pStyle w:val="a3"/>
        <w:spacing w:before="247" w:line="276" w:lineRule="auto"/>
        <w:ind w:left="100" w:right="-1"/>
      </w:pPr>
      <w:proofErr w:type="spellStart"/>
      <w:r>
        <w:t>Holdtite</w:t>
      </w:r>
      <w:proofErr w:type="spellEnd"/>
      <w:r>
        <w:t xml:space="preserve"> T70</w:t>
      </w:r>
      <w:r>
        <w:t xml:space="preserve"> is a high strength anaerobic thread locker</w:t>
      </w:r>
      <w:r>
        <w:t>,</w:t>
      </w:r>
      <w:r>
        <w:rPr>
          <w:spacing w:val="-20"/>
        </w:rPr>
        <w:t xml:space="preserve"> </w:t>
      </w:r>
      <w:r>
        <w:t>designed to permanently lock metal threaded components. T70</w:t>
      </w:r>
      <w:r>
        <w:t xml:space="preserve"> locks fasteners up to 25mm in diameter, sealing against leakage and corrosion. T70</w:t>
      </w:r>
      <w:r>
        <w:t xml:space="preserve"> is thixotropic, which reduces the migration of the liquid adhesive following application. Once cured, the T70</w:t>
      </w:r>
      <w:r>
        <w:t xml:space="preserve"> </w:t>
      </w:r>
      <w:r>
        <w:t xml:space="preserve">resists </w:t>
      </w:r>
      <w:proofErr w:type="gramStart"/>
      <w:r>
        <w:t>attack  from</w:t>
      </w:r>
      <w:proofErr w:type="gramEnd"/>
      <w:r>
        <w:t xml:space="preserve"> most fuels, lubricants and even most industrial</w:t>
      </w:r>
      <w:r>
        <w:rPr>
          <w:spacing w:val="-16"/>
        </w:rPr>
        <w:t xml:space="preserve"> </w:t>
      </w:r>
      <w:r>
        <w:t>gasses.</w:t>
      </w:r>
    </w:p>
    <w:p w:rsidR="002107DD" w:rsidRDefault="002107DD">
      <w:pPr>
        <w:pStyle w:val="a3"/>
        <w:spacing w:before="8"/>
        <w:rPr>
          <w:sz w:val="16"/>
        </w:rPr>
      </w:pPr>
    </w:p>
    <w:p w:rsidR="002107DD" w:rsidRDefault="00B96CD5">
      <w:pPr>
        <w:pStyle w:val="1"/>
      </w:pPr>
      <w:r>
        <w:t>Typical Applications</w:t>
      </w:r>
    </w:p>
    <w:p w:rsidR="002107DD" w:rsidRDefault="00B96CD5" w:rsidP="00B96CD5">
      <w:pPr>
        <w:pStyle w:val="a3"/>
        <w:spacing w:before="247" w:line="276" w:lineRule="auto"/>
        <w:ind w:left="100"/>
      </w:pPr>
      <w:proofErr w:type="spellStart"/>
      <w:r>
        <w:t>Holdtite</w:t>
      </w:r>
      <w:proofErr w:type="spellEnd"/>
      <w:r>
        <w:t xml:space="preserve"> T70</w:t>
      </w:r>
      <w:r>
        <w:t xml:space="preserve"> is designed for ultimate strength metal fastener applications such as studs into motor housings. The T70</w:t>
      </w:r>
      <w:r>
        <w:t xml:space="preserve"> can eliminate the need to double nut,</w:t>
      </w:r>
      <w:r>
        <w:t xml:space="preserve"> or weld critical heavy duty assemblies. Due to the </w:t>
      </w:r>
      <w:proofErr w:type="spellStart"/>
      <w:r>
        <w:t>viscsity</w:t>
      </w:r>
      <w:proofErr w:type="spellEnd"/>
      <w:r>
        <w:t xml:space="preserve"> of T70</w:t>
      </w:r>
      <w:r>
        <w:t xml:space="preserve">, it is suited to both fine and medium threaded metal </w:t>
      </w:r>
      <w:proofErr w:type="gramStart"/>
      <w:r>
        <w:t>parts, that</w:t>
      </w:r>
      <w:proofErr w:type="gramEnd"/>
      <w:r>
        <w:t xml:space="preserve"> will not require periodic disassembly.</w:t>
      </w:r>
    </w:p>
    <w:p w:rsidR="002107DD" w:rsidRDefault="002107DD">
      <w:pPr>
        <w:pStyle w:val="a3"/>
        <w:spacing w:before="8"/>
        <w:rPr>
          <w:sz w:val="16"/>
        </w:rPr>
      </w:pPr>
    </w:p>
    <w:p w:rsidR="002107DD" w:rsidRDefault="00B96CD5">
      <w:pPr>
        <w:pStyle w:val="1"/>
      </w:pPr>
      <w:r>
        <w:t xml:space="preserve">Instructions </w:t>
      </w:r>
      <w:proofErr w:type="gramStart"/>
      <w:r>
        <w:t>For</w:t>
      </w:r>
      <w:proofErr w:type="gramEnd"/>
      <w:r>
        <w:t xml:space="preserve"> Use</w:t>
      </w:r>
    </w:p>
    <w:p w:rsidR="002107DD" w:rsidRDefault="00B96CD5">
      <w:pPr>
        <w:pStyle w:val="a4"/>
        <w:numPr>
          <w:ilvl w:val="0"/>
          <w:numId w:val="1"/>
        </w:numPr>
        <w:tabs>
          <w:tab w:val="left" w:pos="820"/>
          <w:tab w:val="left" w:pos="821"/>
        </w:tabs>
        <w:spacing w:before="248" w:line="276" w:lineRule="auto"/>
        <w:ind w:right="136" w:hanging="360"/>
        <w:rPr>
          <w:sz w:val="18"/>
        </w:rPr>
      </w:pPr>
      <w:r>
        <w:rPr>
          <w:sz w:val="18"/>
        </w:rPr>
        <w:t>For best results clean all surfaces with a cleaning</w:t>
      </w:r>
      <w:r>
        <w:rPr>
          <w:spacing w:val="-21"/>
          <w:sz w:val="18"/>
        </w:rPr>
        <w:t xml:space="preserve"> </w:t>
      </w:r>
      <w:r>
        <w:rPr>
          <w:sz w:val="18"/>
        </w:rPr>
        <w:t>solvent a</w:t>
      </w:r>
      <w:r>
        <w:rPr>
          <w:sz w:val="18"/>
        </w:rPr>
        <w:t>nd allow to</w:t>
      </w:r>
      <w:r>
        <w:rPr>
          <w:spacing w:val="-4"/>
          <w:sz w:val="18"/>
        </w:rPr>
        <w:t xml:space="preserve"> </w:t>
      </w:r>
      <w:r>
        <w:rPr>
          <w:sz w:val="18"/>
        </w:rPr>
        <w:t>dry.</w:t>
      </w:r>
    </w:p>
    <w:p w:rsidR="002107DD" w:rsidRDefault="00B96CD5">
      <w:pPr>
        <w:pStyle w:val="a4"/>
        <w:numPr>
          <w:ilvl w:val="0"/>
          <w:numId w:val="1"/>
        </w:numPr>
        <w:tabs>
          <w:tab w:val="left" w:pos="820"/>
          <w:tab w:val="left" w:pos="821"/>
        </w:tabs>
        <w:spacing w:before="1" w:line="276" w:lineRule="auto"/>
        <w:ind w:right="393" w:hanging="360"/>
        <w:rPr>
          <w:sz w:val="18"/>
        </w:rPr>
      </w:pPr>
      <w:r>
        <w:rPr>
          <w:sz w:val="18"/>
        </w:rPr>
        <w:t>If the metal is inactive (see compatibility chart)</w:t>
      </w:r>
      <w:r>
        <w:rPr>
          <w:spacing w:val="-17"/>
          <w:sz w:val="18"/>
        </w:rPr>
        <w:t xml:space="preserve"> </w:t>
      </w:r>
      <w:r>
        <w:rPr>
          <w:sz w:val="18"/>
        </w:rPr>
        <w:t>apply suitable Bondchem</w:t>
      </w:r>
      <w:r>
        <w:rPr>
          <w:spacing w:val="-7"/>
          <w:sz w:val="18"/>
        </w:rPr>
        <w:t xml:space="preserve"> </w:t>
      </w:r>
      <w:r>
        <w:rPr>
          <w:sz w:val="18"/>
        </w:rPr>
        <w:t>primer.</w:t>
      </w:r>
    </w:p>
    <w:p w:rsidR="002107DD" w:rsidRDefault="00B96CD5">
      <w:pPr>
        <w:pStyle w:val="a4"/>
        <w:numPr>
          <w:ilvl w:val="0"/>
          <w:numId w:val="1"/>
        </w:numPr>
        <w:tabs>
          <w:tab w:val="left" w:pos="820"/>
          <w:tab w:val="left" w:pos="821"/>
        </w:tabs>
        <w:spacing w:line="219" w:lineRule="exact"/>
        <w:ind w:hanging="360"/>
        <w:rPr>
          <w:sz w:val="18"/>
        </w:rPr>
      </w:pPr>
      <w:r>
        <w:rPr>
          <w:sz w:val="18"/>
        </w:rPr>
        <w:t>Shake the product thoroughly before</w:t>
      </w:r>
      <w:r>
        <w:rPr>
          <w:spacing w:val="-19"/>
          <w:sz w:val="18"/>
        </w:rPr>
        <w:t xml:space="preserve"> </w:t>
      </w:r>
      <w:r>
        <w:rPr>
          <w:sz w:val="18"/>
        </w:rPr>
        <w:t>application.</w:t>
      </w:r>
    </w:p>
    <w:p w:rsidR="002107DD" w:rsidRDefault="00B96CD5">
      <w:pPr>
        <w:pStyle w:val="a4"/>
        <w:numPr>
          <w:ilvl w:val="0"/>
          <w:numId w:val="1"/>
        </w:numPr>
        <w:tabs>
          <w:tab w:val="left" w:pos="820"/>
          <w:tab w:val="left" w:pos="821"/>
        </w:tabs>
        <w:spacing w:before="33" w:line="278" w:lineRule="auto"/>
        <w:ind w:hanging="360"/>
        <w:rPr>
          <w:sz w:val="18"/>
        </w:rPr>
      </w:pPr>
      <w:r>
        <w:rPr>
          <w:sz w:val="18"/>
        </w:rPr>
        <w:t>Apply the adhesive to the fixing position of the fastener</w:t>
      </w:r>
      <w:r>
        <w:rPr>
          <w:spacing w:val="-18"/>
          <w:sz w:val="18"/>
        </w:rPr>
        <w:t xml:space="preserve"> </w:t>
      </w:r>
      <w:r>
        <w:rPr>
          <w:sz w:val="18"/>
        </w:rPr>
        <w:t>or onto the internal threads of a blind</w:t>
      </w:r>
      <w:r>
        <w:rPr>
          <w:spacing w:val="-15"/>
          <w:sz w:val="18"/>
        </w:rPr>
        <w:t xml:space="preserve"> </w:t>
      </w:r>
      <w:r>
        <w:rPr>
          <w:sz w:val="18"/>
        </w:rPr>
        <w:t>hole.</w:t>
      </w:r>
    </w:p>
    <w:p w:rsidR="002107DD" w:rsidRDefault="00B96CD5">
      <w:pPr>
        <w:pStyle w:val="a4"/>
        <w:numPr>
          <w:ilvl w:val="0"/>
          <w:numId w:val="1"/>
        </w:numPr>
        <w:tabs>
          <w:tab w:val="left" w:pos="820"/>
          <w:tab w:val="left" w:pos="821"/>
        </w:tabs>
        <w:spacing w:line="276" w:lineRule="auto"/>
        <w:ind w:right="441" w:hanging="360"/>
        <w:rPr>
          <w:sz w:val="18"/>
        </w:rPr>
      </w:pPr>
      <w:r>
        <w:rPr>
          <w:sz w:val="18"/>
        </w:rPr>
        <w:t>Use suitable methods to assemble components,</w:t>
      </w:r>
      <w:r>
        <w:rPr>
          <w:spacing w:val="-18"/>
          <w:sz w:val="18"/>
        </w:rPr>
        <w:t xml:space="preserve"> </w:t>
      </w:r>
      <w:r>
        <w:rPr>
          <w:sz w:val="18"/>
        </w:rPr>
        <w:t>and tighten to required torque</w:t>
      </w:r>
      <w:r>
        <w:rPr>
          <w:spacing w:val="-10"/>
          <w:sz w:val="18"/>
        </w:rPr>
        <w:t xml:space="preserve"> </w:t>
      </w:r>
      <w:r>
        <w:rPr>
          <w:sz w:val="18"/>
        </w:rPr>
        <w:t>level.</w:t>
      </w:r>
    </w:p>
    <w:p w:rsidR="002107DD" w:rsidRDefault="00B96CD5">
      <w:pPr>
        <w:pStyle w:val="a4"/>
        <w:numPr>
          <w:ilvl w:val="0"/>
          <w:numId w:val="1"/>
        </w:numPr>
        <w:tabs>
          <w:tab w:val="left" w:pos="820"/>
          <w:tab w:val="left" w:pos="821"/>
        </w:tabs>
        <w:spacing w:before="4"/>
        <w:ind w:hanging="360"/>
        <w:rPr>
          <w:sz w:val="18"/>
        </w:rPr>
      </w:pPr>
      <w:r>
        <w:rPr>
          <w:sz w:val="18"/>
        </w:rPr>
        <w:t>Allow to fully cure before applying</w:t>
      </w:r>
      <w:r>
        <w:rPr>
          <w:spacing w:val="-17"/>
          <w:sz w:val="18"/>
        </w:rPr>
        <w:t xml:space="preserve"> </w:t>
      </w:r>
      <w:r>
        <w:rPr>
          <w:sz w:val="18"/>
        </w:rPr>
        <w:t>load.</w:t>
      </w:r>
    </w:p>
    <w:p w:rsidR="002107DD" w:rsidRDefault="002107DD">
      <w:pPr>
        <w:pStyle w:val="a3"/>
        <w:spacing w:before="2"/>
        <w:rPr>
          <w:sz w:val="19"/>
        </w:rPr>
      </w:pPr>
    </w:p>
    <w:p w:rsidR="002107DD" w:rsidRDefault="00B96CD5">
      <w:pPr>
        <w:pStyle w:val="1"/>
        <w:spacing w:before="1"/>
      </w:pPr>
      <w:r>
        <w:t>Properties of Uncured Material</w:t>
      </w:r>
    </w:p>
    <w:p w:rsidR="002107DD" w:rsidRDefault="00B96CD5">
      <w:pPr>
        <w:pStyle w:val="a3"/>
        <w:spacing w:before="9"/>
        <w:rPr>
          <w:b/>
          <w:sz w:val="40"/>
        </w:rPr>
      </w:pPr>
      <w:r>
        <w:br w:type="column"/>
      </w:r>
    </w:p>
    <w:p w:rsidR="002107DD" w:rsidRDefault="00B96CD5">
      <w:pPr>
        <w:ind w:left="465"/>
        <w:rPr>
          <w:b/>
          <w:sz w:val="28"/>
        </w:rPr>
      </w:pPr>
      <w:r>
        <w:rPr>
          <w:b/>
          <w:sz w:val="28"/>
        </w:rPr>
        <w:t>Performance of Cured Material</w:t>
      </w:r>
    </w:p>
    <w:p w:rsidR="002107DD" w:rsidRDefault="002107DD">
      <w:pPr>
        <w:pStyle w:val="a3"/>
        <w:spacing w:before="4"/>
        <w:rPr>
          <w:b/>
          <w:sz w:val="20"/>
        </w:rPr>
      </w:pPr>
    </w:p>
    <w:tbl>
      <w:tblPr>
        <w:tblStyle w:val="TableNormal"/>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285"/>
      </w:tblGrid>
      <w:tr w:rsidR="002107DD">
        <w:trPr>
          <w:trHeight w:val="240"/>
        </w:trPr>
        <w:tc>
          <w:tcPr>
            <w:tcW w:w="2285" w:type="dxa"/>
          </w:tcPr>
          <w:p w:rsidR="002107DD" w:rsidRDefault="00B96CD5">
            <w:pPr>
              <w:pStyle w:val="TableParagraph"/>
              <w:spacing w:before="1" w:line="240" w:lineRule="auto"/>
              <w:rPr>
                <w:sz w:val="18"/>
              </w:rPr>
            </w:pPr>
            <w:r>
              <w:rPr>
                <w:sz w:val="18"/>
              </w:rPr>
              <w:t>Fixture Speed</w:t>
            </w:r>
          </w:p>
        </w:tc>
        <w:tc>
          <w:tcPr>
            <w:tcW w:w="2285" w:type="dxa"/>
          </w:tcPr>
          <w:p w:rsidR="002107DD" w:rsidRDefault="00B96CD5">
            <w:pPr>
              <w:pStyle w:val="TableParagraph"/>
              <w:spacing w:line="221" w:lineRule="exact"/>
              <w:rPr>
                <w:sz w:val="18"/>
              </w:rPr>
            </w:pPr>
            <w:r>
              <w:rPr>
                <w:sz w:val="18"/>
              </w:rPr>
              <w:t>30 Minutes @ 20</w:t>
            </w:r>
            <w:r>
              <w:rPr>
                <w:position w:val="9"/>
                <w:sz w:val="12"/>
              </w:rPr>
              <w:t>0</w:t>
            </w:r>
            <w:r>
              <w:rPr>
                <w:sz w:val="18"/>
              </w:rPr>
              <w:t>C</w:t>
            </w:r>
          </w:p>
        </w:tc>
      </w:tr>
      <w:tr w:rsidR="002107DD">
        <w:trPr>
          <w:trHeight w:val="240"/>
        </w:trPr>
        <w:tc>
          <w:tcPr>
            <w:tcW w:w="2285" w:type="dxa"/>
          </w:tcPr>
          <w:p w:rsidR="002107DD" w:rsidRDefault="00B96CD5">
            <w:pPr>
              <w:pStyle w:val="TableParagraph"/>
              <w:rPr>
                <w:sz w:val="18"/>
              </w:rPr>
            </w:pPr>
            <w:r>
              <w:rPr>
                <w:sz w:val="18"/>
              </w:rPr>
              <w:t>Fixture Speed with Primer</w:t>
            </w:r>
          </w:p>
        </w:tc>
        <w:tc>
          <w:tcPr>
            <w:tcW w:w="2285" w:type="dxa"/>
          </w:tcPr>
          <w:p w:rsidR="002107DD" w:rsidRDefault="00B96CD5">
            <w:pPr>
              <w:pStyle w:val="TableParagraph"/>
              <w:rPr>
                <w:sz w:val="18"/>
              </w:rPr>
            </w:pPr>
            <w:r>
              <w:rPr>
                <w:sz w:val="18"/>
              </w:rPr>
              <w:t>&lt;</w:t>
            </w:r>
            <w:r>
              <w:rPr>
                <w:sz w:val="18"/>
              </w:rPr>
              <w:t>5 Seconds</w:t>
            </w:r>
          </w:p>
        </w:tc>
      </w:tr>
      <w:tr w:rsidR="002107DD">
        <w:trPr>
          <w:trHeight w:val="240"/>
        </w:trPr>
        <w:tc>
          <w:tcPr>
            <w:tcW w:w="2285" w:type="dxa"/>
          </w:tcPr>
          <w:p w:rsidR="002107DD" w:rsidRDefault="00B96CD5">
            <w:pPr>
              <w:pStyle w:val="TableParagraph"/>
              <w:spacing w:before="1" w:line="240" w:lineRule="auto"/>
              <w:rPr>
                <w:sz w:val="18"/>
              </w:rPr>
            </w:pPr>
            <w:r>
              <w:rPr>
                <w:sz w:val="18"/>
              </w:rPr>
              <w:t>Full Cure Time</w:t>
            </w:r>
          </w:p>
        </w:tc>
        <w:tc>
          <w:tcPr>
            <w:tcW w:w="2285" w:type="dxa"/>
          </w:tcPr>
          <w:p w:rsidR="002107DD" w:rsidRDefault="00B96CD5">
            <w:pPr>
              <w:pStyle w:val="TableParagraph"/>
              <w:spacing w:line="221" w:lineRule="exact"/>
              <w:rPr>
                <w:sz w:val="18"/>
              </w:rPr>
            </w:pPr>
            <w:r>
              <w:rPr>
                <w:sz w:val="18"/>
              </w:rPr>
              <w:t>24 hours @ 20</w:t>
            </w:r>
            <w:r>
              <w:rPr>
                <w:position w:val="9"/>
                <w:sz w:val="12"/>
              </w:rPr>
              <w:t>0</w:t>
            </w:r>
            <w:r>
              <w:rPr>
                <w:sz w:val="18"/>
              </w:rPr>
              <w:t>C</w:t>
            </w:r>
          </w:p>
        </w:tc>
      </w:tr>
      <w:tr w:rsidR="002107DD">
        <w:trPr>
          <w:trHeight w:val="240"/>
        </w:trPr>
        <w:tc>
          <w:tcPr>
            <w:tcW w:w="2285" w:type="dxa"/>
          </w:tcPr>
          <w:p w:rsidR="002107DD" w:rsidRDefault="00B96CD5">
            <w:pPr>
              <w:pStyle w:val="TableParagraph"/>
              <w:rPr>
                <w:sz w:val="18"/>
              </w:rPr>
            </w:pPr>
            <w:r>
              <w:rPr>
                <w:sz w:val="18"/>
              </w:rPr>
              <w:t>Typical Breakaway Strength</w:t>
            </w:r>
          </w:p>
        </w:tc>
        <w:tc>
          <w:tcPr>
            <w:tcW w:w="2285" w:type="dxa"/>
          </w:tcPr>
          <w:p w:rsidR="002107DD" w:rsidRDefault="00B96CD5">
            <w:pPr>
              <w:pStyle w:val="TableParagraph"/>
              <w:rPr>
                <w:sz w:val="18"/>
              </w:rPr>
            </w:pPr>
            <w:r>
              <w:rPr>
                <w:sz w:val="18"/>
              </w:rPr>
              <w:t>22.5 to 34 Nm</w:t>
            </w:r>
          </w:p>
        </w:tc>
      </w:tr>
      <w:tr w:rsidR="002107DD">
        <w:trPr>
          <w:trHeight w:val="260"/>
        </w:trPr>
        <w:tc>
          <w:tcPr>
            <w:tcW w:w="2285" w:type="dxa"/>
          </w:tcPr>
          <w:p w:rsidR="002107DD" w:rsidRDefault="00B96CD5">
            <w:pPr>
              <w:pStyle w:val="TableParagraph"/>
              <w:spacing w:before="1" w:line="240" w:lineRule="auto"/>
              <w:rPr>
                <w:sz w:val="18"/>
              </w:rPr>
            </w:pPr>
            <w:r>
              <w:rPr>
                <w:sz w:val="18"/>
              </w:rPr>
              <w:t>Typical Prevailing Strength</w:t>
            </w:r>
          </w:p>
        </w:tc>
        <w:tc>
          <w:tcPr>
            <w:tcW w:w="2285" w:type="dxa"/>
          </w:tcPr>
          <w:p w:rsidR="002107DD" w:rsidRDefault="00B96CD5">
            <w:pPr>
              <w:pStyle w:val="TableParagraph"/>
              <w:spacing w:before="1" w:line="240" w:lineRule="auto"/>
              <w:rPr>
                <w:sz w:val="18"/>
              </w:rPr>
            </w:pPr>
            <w:r>
              <w:rPr>
                <w:sz w:val="18"/>
              </w:rPr>
              <w:t>28 to 40 Nm</w:t>
            </w:r>
          </w:p>
        </w:tc>
      </w:tr>
      <w:tr w:rsidR="002107DD">
        <w:trPr>
          <w:trHeight w:val="240"/>
        </w:trPr>
        <w:tc>
          <w:tcPr>
            <w:tcW w:w="2285" w:type="dxa"/>
          </w:tcPr>
          <w:p w:rsidR="002107DD" w:rsidRDefault="00B96CD5">
            <w:pPr>
              <w:pStyle w:val="TableParagraph"/>
              <w:rPr>
                <w:sz w:val="18"/>
              </w:rPr>
            </w:pPr>
            <w:r>
              <w:rPr>
                <w:sz w:val="18"/>
              </w:rPr>
              <w:t>Gap Fill</w:t>
            </w:r>
          </w:p>
        </w:tc>
        <w:tc>
          <w:tcPr>
            <w:tcW w:w="2285" w:type="dxa"/>
          </w:tcPr>
          <w:p w:rsidR="002107DD" w:rsidRDefault="00B96CD5">
            <w:pPr>
              <w:pStyle w:val="TableParagraph"/>
              <w:rPr>
                <w:sz w:val="18"/>
              </w:rPr>
            </w:pPr>
            <w:r>
              <w:rPr>
                <w:sz w:val="18"/>
              </w:rPr>
              <w:t>0.018mm</w:t>
            </w:r>
          </w:p>
        </w:tc>
      </w:tr>
      <w:tr w:rsidR="002107DD">
        <w:trPr>
          <w:trHeight w:val="260"/>
        </w:trPr>
        <w:tc>
          <w:tcPr>
            <w:tcW w:w="2285" w:type="dxa"/>
          </w:tcPr>
          <w:p w:rsidR="002107DD" w:rsidRDefault="00B96CD5">
            <w:pPr>
              <w:pStyle w:val="TableParagraph"/>
              <w:rPr>
                <w:sz w:val="18"/>
              </w:rPr>
            </w:pPr>
            <w:r>
              <w:rPr>
                <w:sz w:val="18"/>
              </w:rPr>
              <w:t>Temperature Range</w:t>
            </w:r>
          </w:p>
        </w:tc>
        <w:tc>
          <w:tcPr>
            <w:tcW w:w="2285" w:type="dxa"/>
          </w:tcPr>
          <w:p w:rsidR="002107DD" w:rsidRDefault="00B96CD5">
            <w:pPr>
              <w:pStyle w:val="TableParagraph"/>
              <w:rPr>
                <w:sz w:val="18"/>
              </w:rPr>
            </w:pPr>
            <w:r>
              <w:rPr>
                <w:sz w:val="18"/>
              </w:rPr>
              <w:t>-53</w:t>
            </w:r>
            <w:r>
              <w:rPr>
                <w:position w:val="9"/>
                <w:sz w:val="12"/>
              </w:rPr>
              <w:t>0</w:t>
            </w:r>
            <w:r>
              <w:rPr>
                <w:sz w:val="18"/>
              </w:rPr>
              <w:t>C to 148</w:t>
            </w:r>
            <w:r>
              <w:rPr>
                <w:position w:val="9"/>
                <w:sz w:val="12"/>
              </w:rPr>
              <w:t>0</w:t>
            </w:r>
            <w:r>
              <w:rPr>
                <w:sz w:val="18"/>
              </w:rPr>
              <w:t>C</w:t>
            </w:r>
          </w:p>
        </w:tc>
      </w:tr>
    </w:tbl>
    <w:p w:rsidR="002107DD" w:rsidRDefault="002107DD">
      <w:pPr>
        <w:pStyle w:val="a3"/>
        <w:rPr>
          <w:b/>
          <w:sz w:val="28"/>
        </w:rPr>
      </w:pPr>
    </w:p>
    <w:p w:rsidR="002107DD" w:rsidRDefault="002107DD">
      <w:pPr>
        <w:pStyle w:val="a3"/>
        <w:spacing w:before="9"/>
        <w:rPr>
          <w:b/>
          <w:sz w:val="20"/>
        </w:rPr>
      </w:pPr>
    </w:p>
    <w:p w:rsidR="002107DD" w:rsidRDefault="00B96CD5">
      <w:pPr>
        <w:ind w:left="465"/>
        <w:rPr>
          <w:b/>
          <w:sz w:val="28"/>
        </w:rPr>
      </w:pPr>
      <w:r>
        <w:rPr>
          <w:b/>
          <w:sz w:val="28"/>
        </w:rPr>
        <w:t>Packaging</w:t>
      </w:r>
    </w:p>
    <w:p w:rsidR="002107DD" w:rsidRDefault="00B96CD5">
      <w:pPr>
        <w:pStyle w:val="a3"/>
        <w:spacing w:before="247" w:line="276" w:lineRule="auto"/>
        <w:ind w:left="465"/>
      </w:pPr>
      <w:proofErr w:type="spellStart"/>
      <w:r>
        <w:t>Holdtite</w:t>
      </w:r>
      <w:proofErr w:type="spellEnd"/>
      <w:r>
        <w:t xml:space="preserve"> T70</w:t>
      </w:r>
      <w:r>
        <w:t xml:space="preserve"> is available in 10ml, 50ml, </w:t>
      </w:r>
      <w:proofErr w:type="gramStart"/>
      <w:r>
        <w:t>250ml</w:t>
      </w:r>
      <w:proofErr w:type="gramEnd"/>
      <w:r>
        <w:t xml:space="preserve"> LDPE bottles. In addition, we can offer automated dispensing lines for the bulk dispensing of this material.</w:t>
      </w:r>
    </w:p>
    <w:p w:rsidR="002107DD" w:rsidRDefault="002107DD">
      <w:pPr>
        <w:pStyle w:val="a3"/>
        <w:spacing w:before="8"/>
        <w:rPr>
          <w:sz w:val="16"/>
        </w:rPr>
      </w:pPr>
    </w:p>
    <w:p w:rsidR="002107DD" w:rsidRDefault="00B96CD5">
      <w:pPr>
        <w:pStyle w:val="1"/>
        <w:ind w:left="465"/>
      </w:pPr>
      <w:r>
        <w:t xml:space="preserve">Storage &amp; </w:t>
      </w:r>
      <w:proofErr w:type="spellStart"/>
      <w:r>
        <w:t>Shelfl</w:t>
      </w:r>
      <w:bookmarkStart w:id="0" w:name="_GoBack"/>
      <w:bookmarkEnd w:id="0"/>
      <w:r>
        <w:t>ife</w:t>
      </w:r>
      <w:proofErr w:type="spellEnd"/>
    </w:p>
    <w:p w:rsidR="002107DD" w:rsidRDefault="00B96CD5">
      <w:pPr>
        <w:pStyle w:val="a3"/>
        <w:spacing w:before="248" w:line="276" w:lineRule="auto"/>
        <w:ind w:left="465"/>
      </w:pPr>
      <w:proofErr w:type="spellStart"/>
      <w:r>
        <w:t>Holdtite</w:t>
      </w:r>
      <w:proofErr w:type="spellEnd"/>
      <w:r>
        <w:t xml:space="preserve"> T70</w:t>
      </w:r>
      <w:r>
        <w:t xml:space="preserve"> should be stored in a cool dry area, out of direct sunlight. Stored </w:t>
      </w:r>
      <w:proofErr w:type="gramStart"/>
      <w:r>
        <w:t>correctly ,</w:t>
      </w:r>
      <w:proofErr w:type="gramEnd"/>
      <w:r>
        <w:t xml:space="preserve"> this grade can offer a 12 month shelf life from manufacture.</w:t>
      </w:r>
    </w:p>
    <w:p w:rsidR="002107DD" w:rsidRDefault="002107DD">
      <w:pPr>
        <w:pStyle w:val="a3"/>
        <w:spacing w:before="6"/>
        <w:rPr>
          <w:sz w:val="16"/>
        </w:rPr>
      </w:pPr>
    </w:p>
    <w:p w:rsidR="002107DD" w:rsidRDefault="00B96CD5">
      <w:pPr>
        <w:pStyle w:val="1"/>
        <w:ind w:left="465"/>
      </w:pPr>
      <w:r>
        <w:t>Health and Safety in Use</w:t>
      </w:r>
    </w:p>
    <w:p w:rsidR="002107DD" w:rsidRDefault="00B96CD5">
      <w:pPr>
        <w:pStyle w:val="a3"/>
        <w:spacing w:before="247" w:line="276" w:lineRule="auto"/>
        <w:ind w:left="465"/>
      </w:pPr>
      <w:r>
        <w:rPr>
          <w:b/>
        </w:rPr>
        <w:t>Irritant</w:t>
      </w:r>
      <w:r>
        <w:t>: Contains Methacrylate Esters which may irritate eyes, respiratory</w:t>
      </w:r>
      <w:r>
        <w:t xml:space="preserve"> organs and skin. In case of contact with the skin, wash immediately with plenty of water. For full Health and Safety information please consult the MSDS.</w:t>
      </w:r>
    </w:p>
    <w:p w:rsidR="002107DD" w:rsidRDefault="002107DD">
      <w:pPr>
        <w:spacing w:line="276" w:lineRule="auto"/>
        <w:sectPr w:rsidR="002107DD">
          <w:type w:val="continuous"/>
          <w:pgSz w:w="12240" w:h="15840"/>
          <w:pgMar w:top="700" w:right="620" w:bottom="280" w:left="620" w:header="720" w:footer="720" w:gutter="0"/>
          <w:pgBorders w:offsetFrom="page">
            <w:top w:val="single" w:sz="4" w:space="24" w:color="BEBEBE"/>
            <w:left w:val="single" w:sz="4" w:space="24" w:color="BEBEBE"/>
            <w:bottom w:val="single" w:sz="4" w:space="24" w:color="BEBEBE"/>
            <w:right w:val="single" w:sz="4" w:space="24" w:color="BEBEBE"/>
          </w:pgBorders>
          <w:cols w:num="2" w:space="720" w:equalWidth="0">
            <w:col w:w="5081" w:space="307"/>
            <w:col w:w="5612"/>
          </w:cols>
        </w:sectPr>
      </w:pPr>
    </w:p>
    <w:p w:rsidR="002107DD" w:rsidRDefault="002107DD">
      <w:pPr>
        <w:pStyle w:val="a3"/>
        <w:spacing w:before="4"/>
        <w:rPr>
          <w:sz w:val="20"/>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273"/>
      </w:tblGrid>
      <w:tr w:rsidR="002107DD">
        <w:trPr>
          <w:trHeight w:val="220"/>
        </w:trPr>
        <w:tc>
          <w:tcPr>
            <w:tcW w:w="2271" w:type="dxa"/>
          </w:tcPr>
          <w:p w:rsidR="002107DD" w:rsidRDefault="00B96CD5">
            <w:pPr>
              <w:pStyle w:val="TableParagraph"/>
              <w:ind w:left="103"/>
              <w:rPr>
                <w:sz w:val="18"/>
              </w:rPr>
            </w:pPr>
            <w:r>
              <w:rPr>
                <w:sz w:val="18"/>
              </w:rPr>
              <w:t>Resin</w:t>
            </w:r>
          </w:p>
        </w:tc>
        <w:tc>
          <w:tcPr>
            <w:tcW w:w="2273" w:type="dxa"/>
          </w:tcPr>
          <w:p w:rsidR="002107DD" w:rsidRDefault="00B96CD5">
            <w:pPr>
              <w:pStyle w:val="TableParagraph"/>
              <w:ind w:left="103"/>
              <w:rPr>
                <w:sz w:val="18"/>
              </w:rPr>
            </w:pPr>
            <w:proofErr w:type="spellStart"/>
            <w:r>
              <w:rPr>
                <w:sz w:val="18"/>
              </w:rPr>
              <w:t>Dimethacrylate</w:t>
            </w:r>
            <w:proofErr w:type="spellEnd"/>
          </w:p>
        </w:tc>
      </w:tr>
      <w:tr w:rsidR="002107DD">
        <w:trPr>
          <w:trHeight w:val="220"/>
        </w:trPr>
        <w:tc>
          <w:tcPr>
            <w:tcW w:w="2271" w:type="dxa"/>
          </w:tcPr>
          <w:p w:rsidR="002107DD" w:rsidRDefault="00B96CD5">
            <w:pPr>
              <w:pStyle w:val="TableParagraph"/>
              <w:ind w:left="103"/>
              <w:rPr>
                <w:sz w:val="18"/>
              </w:rPr>
            </w:pPr>
            <w:proofErr w:type="spellStart"/>
            <w:r>
              <w:rPr>
                <w:sz w:val="18"/>
              </w:rPr>
              <w:t>Colour</w:t>
            </w:r>
            <w:proofErr w:type="spellEnd"/>
          </w:p>
        </w:tc>
        <w:tc>
          <w:tcPr>
            <w:tcW w:w="2273" w:type="dxa"/>
          </w:tcPr>
          <w:p w:rsidR="002107DD" w:rsidRDefault="00B96CD5">
            <w:pPr>
              <w:pStyle w:val="TableParagraph"/>
              <w:ind w:left="103"/>
              <w:rPr>
                <w:sz w:val="18"/>
              </w:rPr>
            </w:pPr>
            <w:r>
              <w:rPr>
                <w:sz w:val="18"/>
              </w:rPr>
              <w:t>Red</w:t>
            </w:r>
          </w:p>
        </w:tc>
      </w:tr>
      <w:tr w:rsidR="002107DD">
        <w:trPr>
          <w:trHeight w:val="200"/>
        </w:trPr>
        <w:tc>
          <w:tcPr>
            <w:tcW w:w="2271" w:type="dxa"/>
          </w:tcPr>
          <w:p w:rsidR="002107DD" w:rsidRDefault="00B96CD5">
            <w:pPr>
              <w:pStyle w:val="TableParagraph"/>
              <w:spacing w:line="218" w:lineRule="exact"/>
              <w:ind w:left="103"/>
              <w:rPr>
                <w:sz w:val="18"/>
              </w:rPr>
            </w:pPr>
            <w:r>
              <w:rPr>
                <w:sz w:val="18"/>
              </w:rPr>
              <w:t>Viscosity @ 25</w:t>
            </w:r>
            <w:r>
              <w:rPr>
                <w:position w:val="9"/>
                <w:sz w:val="12"/>
              </w:rPr>
              <w:t>0</w:t>
            </w:r>
            <w:r>
              <w:rPr>
                <w:sz w:val="18"/>
              </w:rPr>
              <w:t>C</w:t>
            </w:r>
          </w:p>
        </w:tc>
        <w:tc>
          <w:tcPr>
            <w:tcW w:w="2273" w:type="dxa"/>
          </w:tcPr>
          <w:p w:rsidR="002107DD" w:rsidRDefault="002107DD">
            <w:pPr>
              <w:pStyle w:val="TableParagraph"/>
              <w:spacing w:line="240" w:lineRule="auto"/>
              <w:ind w:left="0"/>
              <w:rPr>
                <w:rFonts w:ascii="Times New Roman"/>
                <w:sz w:val="14"/>
              </w:rPr>
            </w:pPr>
          </w:p>
        </w:tc>
      </w:tr>
      <w:tr w:rsidR="002107DD">
        <w:trPr>
          <w:trHeight w:val="220"/>
        </w:trPr>
        <w:tc>
          <w:tcPr>
            <w:tcW w:w="2271" w:type="dxa"/>
          </w:tcPr>
          <w:p w:rsidR="002107DD" w:rsidRDefault="00B96CD5">
            <w:pPr>
              <w:pStyle w:val="TableParagraph"/>
              <w:spacing w:before="1"/>
              <w:ind w:left="103"/>
              <w:rPr>
                <w:sz w:val="18"/>
              </w:rPr>
            </w:pPr>
            <w:r>
              <w:rPr>
                <w:sz w:val="18"/>
              </w:rPr>
              <w:t xml:space="preserve">Brookfield </w:t>
            </w:r>
            <w:proofErr w:type="spellStart"/>
            <w:r>
              <w:rPr>
                <w:sz w:val="18"/>
              </w:rPr>
              <w:t>Sp</w:t>
            </w:r>
            <w:proofErr w:type="spellEnd"/>
            <w:r>
              <w:rPr>
                <w:sz w:val="18"/>
              </w:rPr>
              <w:t xml:space="preserve"> 3 @ 20rpm</w:t>
            </w:r>
          </w:p>
        </w:tc>
        <w:tc>
          <w:tcPr>
            <w:tcW w:w="2273" w:type="dxa"/>
          </w:tcPr>
          <w:p w:rsidR="002107DD" w:rsidRDefault="00B96CD5">
            <w:pPr>
              <w:pStyle w:val="TableParagraph"/>
              <w:spacing w:before="1"/>
              <w:ind w:left="103"/>
              <w:rPr>
                <w:sz w:val="18"/>
              </w:rPr>
            </w:pPr>
            <w:r>
              <w:rPr>
                <w:sz w:val="18"/>
              </w:rPr>
              <w:t>500cps</w:t>
            </w:r>
          </w:p>
        </w:tc>
      </w:tr>
      <w:tr w:rsidR="002107DD">
        <w:trPr>
          <w:trHeight w:val="220"/>
        </w:trPr>
        <w:tc>
          <w:tcPr>
            <w:tcW w:w="2271" w:type="dxa"/>
          </w:tcPr>
          <w:p w:rsidR="002107DD" w:rsidRDefault="00B96CD5">
            <w:pPr>
              <w:pStyle w:val="TableParagraph"/>
              <w:ind w:left="103"/>
              <w:rPr>
                <w:sz w:val="18"/>
              </w:rPr>
            </w:pPr>
            <w:r>
              <w:rPr>
                <w:sz w:val="18"/>
              </w:rPr>
              <w:t>Viscosity 2</w:t>
            </w:r>
          </w:p>
        </w:tc>
        <w:tc>
          <w:tcPr>
            <w:tcW w:w="2273" w:type="dxa"/>
          </w:tcPr>
          <w:p w:rsidR="002107DD" w:rsidRDefault="00B96CD5">
            <w:pPr>
              <w:pStyle w:val="TableParagraph"/>
              <w:ind w:left="103"/>
              <w:rPr>
                <w:sz w:val="18"/>
              </w:rPr>
            </w:pPr>
            <w:r>
              <w:rPr>
                <w:sz w:val="18"/>
              </w:rPr>
              <w:t>Thixotropic</w:t>
            </w:r>
          </w:p>
        </w:tc>
      </w:tr>
      <w:tr w:rsidR="002107DD">
        <w:trPr>
          <w:trHeight w:val="220"/>
        </w:trPr>
        <w:tc>
          <w:tcPr>
            <w:tcW w:w="2271" w:type="dxa"/>
          </w:tcPr>
          <w:p w:rsidR="002107DD" w:rsidRDefault="00B96CD5">
            <w:pPr>
              <w:pStyle w:val="TableParagraph"/>
              <w:ind w:left="103"/>
              <w:rPr>
                <w:sz w:val="18"/>
              </w:rPr>
            </w:pPr>
            <w:r>
              <w:rPr>
                <w:sz w:val="18"/>
              </w:rPr>
              <w:t>Cure System</w:t>
            </w:r>
          </w:p>
        </w:tc>
        <w:tc>
          <w:tcPr>
            <w:tcW w:w="2273" w:type="dxa"/>
          </w:tcPr>
          <w:p w:rsidR="002107DD" w:rsidRDefault="00B96CD5">
            <w:pPr>
              <w:pStyle w:val="TableParagraph"/>
              <w:ind w:left="103"/>
              <w:rPr>
                <w:sz w:val="18"/>
              </w:rPr>
            </w:pPr>
            <w:r>
              <w:rPr>
                <w:sz w:val="18"/>
              </w:rPr>
              <w:t>Anaerobic</w:t>
            </w:r>
          </w:p>
        </w:tc>
      </w:tr>
    </w:tbl>
    <w:p w:rsidR="002107DD" w:rsidRDefault="002107DD">
      <w:pPr>
        <w:pStyle w:val="a3"/>
        <w:spacing w:before="5"/>
        <w:rPr>
          <w:sz w:val="29"/>
        </w:rPr>
      </w:pPr>
    </w:p>
    <w:p w:rsidR="002107DD" w:rsidRDefault="00B96CD5">
      <w:pPr>
        <w:spacing w:before="71" w:line="276" w:lineRule="auto"/>
        <w:ind w:left="100" w:right="72"/>
        <w:rPr>
          <w:sz w:val="14"/>
        </w:rPr>
      </w:pPr>
      <w:r>
        <w:rPr>
          <w:sz w:val="14"/>
        </w:rPr>
        <w:t>The data, information and values contained in this Technical Data Sheet have been obtained by specific tests conducted in a controlled environment, and should be used for guidance purposes only. Although we believe them to be reliable and accurate, users s</w:t>
      </w:r>
      <w:r>
        <w:rPr>
          <w:sz w:val="14"/>
        </w:rPr>
        <w:t>hould always conduct their own tests in their specific working conditions to ensure that the product is suitable and effective for use. It is the user’s sole responsibility to determine the suitability of the product for the application. Bondchem Ltd canno</w:t>
      </w:r>
      <w:r>
        <w:rPr>
          <w:sz w:val="14"/>
        </w:rPr>
        <w:t xml:space="preserve">t be held responsible for the results of procedures undertaken elsewhere, nor for the safeguarding of personnel or property, </w:t>
      </w:r>
      <w:proofErr w:type="gramStart"/>
      <w:r>
        <w:rPr>
          <w:sz w:val="14"/>
        </w:rPr>
        <w:t>all of which is</w:t>
      </w:r>
      <w:proofErr w:type="gramEnd"/>
      <w:r>
        <w:rPr>
          <w:sz w:val="14"/>
        </w:rPr>
        <w:t xml:space="preserve"> the duty of the user. Suitability of products or methods is discretionary. Therefore, warrantees or implied usage o</w:t>
      </w:r>
      <w:r>
        <w:rPr>
          <w:sz w:val="14"/>
        </w:rPr>
        <w:t>bligations should not be attributed to, and are not the responsibility of, Bondchem Ltd. Bondchem Ltd are not liable for any financial loss or other damages incurred by the user as a result of the use of this product.</w:t>
      </w:r>
    </w:p>
    <w:sectPr w:rsidR="002107DD">
      <w:type w:val="continuous"/>
      <w:pgSz w:w="12240" w:h="15840"/>
      <w:pgMar w:top="700" w:right="620" w:bottom="280" w:left="620" w:header="720" w:footer="720" w:gutter="0"/>
      <w:pgBorders w:offsetFrom="page">
        <w:top w:val="single" w:sz="4" w:space="24" w:color="BEBEBE"/>
        <w:left w:val="single" w:sz="4" w:space="24" w:color="BEBEBE"/>
        <w:bottom w:val="single" w:sz="4" w:space="24" w:color="BEBEBE"/>
        <w:right w:val="single" w:sz="4" w:space="24" w:color="BEBEBE"/>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1E8E"/>
    <w:multiLevelType w:val="hybridMultilevel"/>
    <w:tmpl w:val="E272ED8C"/>
    <w:lvl w:ilvl="0" w:tplc="D6D64BEE">
      <w:start w:val="1"/>
      <w:numFmt w:val="decimal"/>
      <w:lvlText w:val="%1."/>
      <w:lvlJc w:val="left"/>
      <w:pPr>
        <w:ind w:left="820" w:hanging="361"/>
        <w:jc w:val="left"/>
      </w:pPr>
      <w:rPr>
        <w:rFonts w:ascii="Calibri" w:eastAsia="Calibri" w:hAnsi="Calibri" w:cs="Calibri" w:hint="default"/>
        <w:spacing w:val="-2"/>
        <w:w w:val="100"/>
        <w:sz w:val="18"/>
        <w:szCs w:val="18"/>
      </w:rPr>
    </w:lvl>
    <w:lvl w:ilvl="1" w:tplc="63C2735C">
      <w:numFmt w:val="bullet"/>
      <w:lvlText w:val="•"/>
      <w:lvlJc w:val="left"/>
      <w:pPr>
        <w:ind w:left="1246" w:hanging="361"/>
      </w:pPr>
      <w:rPr>
        <w:rFonts w:hint="default"/>
      </w:rPr>
    </w:lvl>
    <w:lvl w:ilvl="2" w:tplc="25429B2A">
      <w:numFmt w:val="bullet"/>
      <w:lvlText w:val="•"/>
      <w:lvlJc w:val="left"/>
      <w:pPr>
        <w:ind w:left="1672" w:hanging="361"/>
      </w:pPr>
      <w:rPr>
        <w:rFonts w:hint="default"/>
      </w:rPr>
    </w:lvl>
    <w:lvl w:ilvl="3" w:tplc="49B4D5C4">
      <w:numFmt w:val="bullet"/>
      <w:lvlText w:val="•"/>
      <w:lvlJc w:val="left"/>
      <w:pPr>
        <w:ind w:left="2098" w:hanging="361"/>
      </w:pPr>
      <w:rPr>
        <w:rFonts w:hint="default"/>
      </w:rPr>
    </w:lvl>
    <w:lvl w:ilvl="4" w:tplc="52C0F744">
      <w:numFmt w:val="bullet"/>
      <w:lvlText w:val="•"/>
      <w:lvlJc w:val="left"/>
      <w:pPr>
        <w:ind w:left="2524" w:hanging="361"/>
      </w:pPr>
      <w:rPr>
        <w:rFonts w:hint="default"/>
      </w:rPr>
    </w:lvl>
    <w:lvl w:ilvl="5" w:tplc="72464E08">
      <w:numFmt w:val="bullet"/>
      <w:lvlText w:val="•"/>
      <w:lvlJc w:val="left"/>
      <w:pPr>
        <w:ind w:left="2950" w:hanging="361"/>
      </w:pPr>
      <w:rPr>
        <w:rFonts w:hint="default"/>
      </w:rPr>
    </w:lvl>
    <w:lvl w:ilvl="6" w:tplc="16DAEB66">
      <w:numFmt w:val="bullet"/>
      <w:lvlText w:val="•"/>
      <w:lvlJc w:val="left"/>
      <w:pPr>
        <w:ind w:left="3376" w:hanging="361"/>
      </w:pPr>
      <w:rPr>
        <w:rFonts w:hint="default"/>
      </w:rPr>
    </w:lvl>
    <w:lvl w:ilvl="7" w:tplc="479475CA">
      <w:numFmt w:val="bullet"/>
      <w:lvlText w:val="•"/>
      <w:lvlJc w:val="left"/>
      <w:pPr>
        <w:ind w:left="3802" w:hanging="361"/>
      </w:pPr>
      <w:rPr>
        <w:rFonts w:hint="default"/>
      </w:rPr>
    </w:lvl>
    <w:lvl w:ilvl="8" w:tplc="611A9326">
      <w:numFmt w:val="bullet"/>
      <w:lvlText w:val="•"/>
      <w:lvlJc w:val="left"/>
      <w:pPr>
        <w:ind w:left="422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DD"/>
    <w:rsid w:val="002107DD"/>
    <w:rsid w:val="00B96C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808D3-CBC7-4352-BEAF-D5FAF614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ind w:left="10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820" w:hanging="360"/>
    </w:pPr>
  </w:style>
  <w:style w:type="paragraph" w:customStyle="1" w:styleId="TableParagraph">
    <w:name w:val="Table Paragraph"/>
    <w:basedOn w:val="a"/>
    <w:uiPriority w:val="1"/>
    <w:qFormat/>
    <w:pPr>
      <w:spacing w:line="219"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2731</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Technical Datasheet AT05</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AT05</dc:title>
  <dc:creator>Owner</dc:creator>
  <cp:lastModifiedBy>Owner</cp:lastModifiedBy>
  <cp:revision>2</cp:revision>
  <dcterms:created xsi:type="dcterms:W3CDTF">2017-11-14T07:50:00Z</dcterms:created>
  <dcterms:modified xsi:type="dcterms:W3CDTF">2017-11-14T07:50:00Z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2011-06-23T00:00:00Z</vt:filetime>
  </property>
  <property fmtid="{D5CDD505-2E9C-101B-9397-08002B2CF9AE}" pid="3" name="Creator">
    <vt:lpwstr>Microsoft® Office Word 2007</vt:lpwstr>
  </property>
  <property fmtid="{D5CDD505-2E9C-101B-9397-08002B2CF9AE}" pid="4" name="LastSaved">
    <vt:filetime>2017-11-14T00:00:00Z</vt:filetime>
  </property>
</Properties>
</file>