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45" w:rsidRDefault="00FB3B45" w:rsidP="0033326E">
      <w:pPr>
        <w:rPr>
          <w:b/>
          <w:noProof/>
          <w:sz w:val="32"/>
          <w:szCs w:val="32"/>
          <w:lang w:val="en-GB"/>
        </w:rPr>
      </w:pPr>
      <w:r w:rsidRPr="007D0A39">
        <w:rPr>
          <w:b/>
          <w:noProof/>
          <w:sz w:val="32"/>
          <w:szCs w:val="32"/>
          <w:lang w:val="en-GB"/>
        </w:rPr>
        <w:t>Technical Datasheet</w:t>
      </w:r>
    </w:p>
    <w:p w:rsidR="0033326E" w:rsidRPr="007D0A39" w:rsidRDefault="0033326E" w:rsidP="0033326E">
      <w:pPr>
        <w:rPr>
          <w:b/>
          <w:noProof/>
          <w:sz w:val="32"/>
          <w:szCs w:val="32"/>
          <w:lang w:val="en-GB"/>
        </w:rPr>
      </w:pPr>
      <w:r>
        <w:rPr>
          <w:b/>
          <w:noProof/>
          <w:sz w:val="32"/>
          <w:szCs w:val="32"/>
          <w:lang w:val="en-GB"/>
        </w:rPr>
        <w:t>Holdtite 6030</w:t>
      </w:r>
    </w:p>
    <w:p w:rsidR="00FB3B45" w:rsidRDefault="00FB3B45">
      <w:pPr>
        <w:rPr>
          <w:b/>
          <w:noProof/>
          <w:sz w:val="28"/>
          <w:szCs w:val="28"/>
          <w:lang w:val="en-GB"/>
        </w:rPr>
      </w:pPr>
      <w:r w:rsidRPr="007D0A39">
        <w:rPr>
          <w:b/>
          <w:noProof/>
          <w:sz w:val="28"/>
          <w:szCs w:val="28"/>
          <w:lang w:val="en-GB"/>
        </w:rPr>
        <w:t>Product Description</w:t>
      </w:r>
    </w:p>
    <w:p w:rsidR="00FB3B45" w:rsidRPr="00E8610B" w:rsidRDefault="0033326E" w:rsidP="0033326E">
      <w:pPr>
        <w:rPr>
          <w:noProof/>
          <w:sz w:val="18"/>
          <w:szCs w:val="18"/>
          <w:lang w:val="en-GB"/>
        </w:rPr>
      </w:pPr>
      <w:r>
        <w:rPr>
          <w:noProof/>
          <w:sz w:val="18"/>
          <w:szCs w:val="18"/>
          <w:lang w:val="en-GB"/>
        </w:rPr>
        <w:t>Holdtite 6030</w:t>
      </w:r>
      <w:r w:rsidR="00FB3B45">
        <w:rPr>
          <w:noProof/>
          <w:sz w:val="18"/>
          <w:szCs w:val="18"/>
          <w:lang w:val="en-GB"/>
        </w:rPr>
        <w:t xml:space="preserve"> is a two component fast curing epoxy, that cures at room temperature to form a tough, rigid  thermoset polymer. </w:t>
      </w:r>
      <w:r>
        <w:rPr>
          <w:noProof/>
          <w:sz w:val="18"/>
          <w:szCs w:val="18"/>
          <w:lang w:val="en-GB"/>
        </w:rPr>
        <w:t>6030</w:t>
      </w:r>
      <w:r w:rsidR="00FB3B45">
        <w:rPr>
          <w:noProof/>
          <w:sz w:val="18"/>
          <w:szCs w:val="18"/>
          <w:lang w:val="en-GB"/>
        </w:rPr>
        <w:t xml:space="preserve"> has high adhesion to a wide variety of substrates, and also offers excellent dep</w:t>
      </w:r>
      <w:r w:rsidR="002F6698">
        <w:rPr>
          <w:noProof/>
          <w:sz w:val="18"/>
          <w:szCs w:val="18"/>
          <w:lang w:val="en-GB"/>
        </w:rPr>
        <w:t xml:space="preserve">th of cure.  Once cured, the </w:t>
      </w:r>
      <w:r>
        <w:rPr>
          <w:noProof/>
          <w:sz w:val="18"/>
          <w:szCs w:val="18"/>
          <w:lang w:val="en-GB"/>
        </w:rPr>
        <w:t>6030</w:t>
      </w:r>
      <w:r w:rsidR="00FB3B45">
        <w:rPr>
          <w:noProof/>
          <w:sz w:val="18"/>
          <w:szCs w:val="18"/>
          <w:lang w:val="en-GB"/>
        </w:rPr>
        <w:t xml:space="preserve"> has high cohesive strength, and good environmental and shock resistance.</w:t>
      </w:r>
    </w:p>
    <w:p w:rsidR="00FB3B45" w:rsidRDefault="00FB3B45">
      <w:pPr>
        <w:rPr>
          <w:b/>
          <w:noProof/>
          <w:sz w:val="28"/>
          <w:szCs w:val="28"/>
          <w:lang w:val="en-GB"/>
        </w:rPr>
      </w:pPr>
      <w:r w:rsidRPr="005A79CD">
        <w:rPr>
          <w:b/>
          <w:noProof/>
          <w:sz w:val="28"/>
          <w:szCs w:val="28"/>
          <w:lang w:val="en-GB"/>
        </w:rPr>
        <w:t>Typical Applications</w:t>
      </w:r>
    </w:p>
    <w:p w:rsidR="00FB3B45" w:rsidRDefault="0033326E" w:rsidP="0033326E">
      <w:pPr>
        <w:rPr>
          <w:noProof/>
          <w:sz w:val="18"/>
          <w:szCs w:val="18"/>
          <w:lang w:val="en-GB"/>
        </w:rPr>
      </w:pPr>
      <w:r>
        <w:rPr>
          <w:noProof/>
          <w:sz w:val="18"/>
          <w:szCs w:val="18"/>
          <w:lang w:val="en-GB"/>
        </w:rPr>
        <w:t>Holdtite 6030</w:t>
      </w:r>
      <w:r w:rsidR="00FB3B45">
        <w:rPr>
          <w:noProof/>
          <w:sz w:val="18"/>
          <w:szCs w:val="18"/>
          <w:lang w:val="en-GB"/>
        </w:rPr>
        <w:t xml:space="preserve"> is used widely as a structural adhesive in the composite, electronic, and DIY market sectors.  Some typical uses of the </w:t>
      </w:r>
      <w:r>
        <w:rPr>
          <w:noProof/>
          <w:sz w:val="18"/>
          <w:szCs w:val="18"/>
          <w:lang w:val="en-GB"/>
        </w:rPr>
        <w:t>6030</w:t>
      </w:r>
      <w:r w:rsidR="00FB3B45">
        <w:rPr>
          <w:noProof/>
          <w:sz w:val="18"/>
          <w:szCs w:val="18"/>
          <w:lang w:val="en-GB"/>
        </w:rPr>
        <w:t xml:space="preserve"> are:</w:t>
      </w:r>
    </w:p>
    <w:p w:rsidR="00FB3B45" w:rsidRDefault="00FB3B45" w:rsidP="00CD6747">
      <w:pPr>
        <w:pStyle w:val="aa"/>
        <w:numPr>
          <w:ilvl w:val="0"/>
          <w:numId w:val="6"/>
        </w:numPr>
        <w:rPr>
          <w:noProof/>
          <w:sz w:val="18"/>
          <w:szCs w:val="18"/>
          <w:lang w:val="en-GB"/>
        </w:rPr>
      </w:pPr>
      <w:r>
        <w:rPr>
          <w:noProof/>
          <w:sz w:val="18"/>
          <w:szCs w:val="18"/>
          <w:lang w:val="en-GB"/>
        </w:rPr>
        <w:t>Bonding fasteners onto the gel coat surface of fibreglass</w:t>
      </w:r>
    </w:p>
    <w:p w:rsidR="00FB3B45" w:rsidRDefault="00FB3B45" w:rsidP="00CD6747">
      <w:pPr>
        <w:pStyle w:val="aa"/>
        <w:numPr>
          <w:ilvl w:val="0"/>
          <w:numId w:val="6"/>
        </w:numPr>
        <w:rPr>
          <w:noProof/>
          <w:sz w:val="18"/>
          <w:szCs w:val="18"/>
          <w:lang w:val="en-GB"/>
        </w:rPr>
      </w:pPr>
      <w:r>
        <w:rPr>
          <w:noProof/>
          <w:sz w:val="18"/>
          <w:szCs w:val="18"/>
          <w:lang w:val="en-GB"/>
        </w:rPr>
        <w:t>Bonding wood, metal and glass for furniture manufacture</w:t>
      </w:r>
    </w:p>
    <w:p w:rsidR="00FB3B45" w:rsidRDefault="00FB3B45" w:rsidP="00CD6747">
      <w:pPr>
        <w:pStyle w:val="aa"/>
        <w:numPr>
          <w:ilvl w:val="0"/>
          <w:numId w:val="6"/>
        </w:numPr>
        <w:rPr>
          <w:noProof/>
          <w:sz w:val="18"/>
          <w:szCs w:val="18"/>
          <w:lang w:val="en-GB"/>
        </w:rPr>
      </w:pPr>
      <w:r>
        <w:rPr>
          <w:noProof/>
          <w:sz w:val="18"/>
          <w:szCs w:val="18"/>
          <w:lang w:val="en-GB"/>
        </w:rPr>
        <w:t>Potting and encapsulating sensors</w:t>
      </w:r>
    </w:p>
    <w:p w:rsidR="00FB3B45" w:rsidRPr="00CD6747" w:rsidRDefault="00FB3B45" w:rsidP="00CD6747">
      <w:pPr>
        <w:pStyle w:val="aa"/>
        <w:numPr>
          <w:ilvl w:val="0"/>
          <w:numId w:val="6"/>
        </w:numPr>
        <w:rPr>
          <w:noProof/>
          <w:sz w:val="18"/>
          <w:szCs w:val="18"/>
          <w:lang w:val="en-GB"/>
        </w:rPr>
      </w:pPr>
      <w:r>
        <w:rPr>
          <w:noProof/>
          <w:sz w:val="18"/>
          <w:szCs w:val="18"/>
          <w:lang w:val="en-GB"/>
        </w:rPr>
        <w:t>Fibreglass repairs and patches</w:t>
      </w:r>
    </w:p>
    <w:p w:rsidR="00FB3B45" w:rsidRDefault="00FB3B45">
      <w:pPr>
        <w:rPr>
          <w:b/>
          <w:noProof/>
          <w:sz w:val="28"/>
          <w:szCs w:val="28"/>
          <w:lang w:val="en-GB"/>
        </w:rPr>
      </w:pPr>
      <w:r w:rsidRPr="005A79CD">
        <w:rPr>
          <w:b/>
          <w:noProof/>
          <w:sz w:val="28"/>
          <w:szCs w:val="28"/>
          <w:lang w:val="en-GB"/>
        </w:rPr>
        <w:t>Instructions For Use</w:t>
      </w:r>
    </w:p>
    <w:p w:rsidR="00FB3B45" w:rsidRDefault="00FB3B45" w:rsidP="0033326E">
      <w:pPr>
        <w:pStyle w:val="aa"/>
        <w:numPr>
          <w:ilvl w:val="0"/>
          <w:numId w:val="3"/>
        </w:numPr>
        <w:rPr>
          <w:noProof/>
          <w:sz w:val="18"/>
          <w:szCs w:val="18"/>
          <w:lang w:val="en-GB"/>
        </w:rPr>
      </w:pPr>
      <w:r>
        <w:rPr>
          <w:noProof/>
          <w:sz w:val="18"/>
          <w:szCs w:val="18"/>
          <w:lang w:val="en-GB"/>
        </w:rPr>
        <w:t>Alwa</w:t>
      </w:r>
      <w:r w:rsidR="002F6698">
        <w:rPr>
          <w:noProof/>
          <w:sz w:val="18"/>
          <w:szCs w:val="18"/>
          <w:lang w:val="en-GB"/>
        </w:rPr>
        <w:t xml:space="preserve">ys consult MSDS before using </w:t>
      </w:r>
      <w:r w:rsidR="0033326E">
        <w:rPr>
          <w:noProof/>
          <w:sz w:val="18"/>
          <w:szCs w:val="18"/>
          <w:lang w:val="en-GB"/>
        </w:rPr>
        <w:t>6030</w:t>
      </w:r>
      <w:r>
        <w:rPr>
          <w:noProof/>
          <w:sz w:val="18"/>
          <w:szCs w:val="18"/>
          <w:lang w:val="en-GB"/>
        </w:rPr>
        <w:t xml:space="preserve"> for the first time.</w:t>
      </w:r>
    </w:p>
    <w:p w:rsidR="00FB3B45" w:rsidRDefault="00FB3B45" w:rsidP="009A773E">
      <w:pPr>
        <w:pStyle w:val="aa"/>
        <w:numPr>
          <w:ilvl w:val="0"/>
          <w:numId w:val="3"/>
        </w:numPr>
        <w:rPr>
          <w:noProof/>
          <w:sz w:val="18"/>
          <w:szCs w:val="18"/>
          <w:lang w:val="en-GB"/>
        </w:rPr>
      </w:pPr>
      <w:r w:rsidRPr="00E1401E">
        <w:rPr>
          <w:noProof/>
          <w:sz w:val="18"/>
          <w:szCs w:val="18"/>
          <w:lang w:val="en-GB"/>
        </w:rPr>
        <w:t>Carry out surface preparation where required</w:t>
      </w:r>
      <w:r>
        <w:rPr>
          <w:noProof/>
          <w:sz w:val="18"/>
          <w:szCs w:val="18"/>
          <w:lang w:val="en-GB"/>
        </w:rPr>
        <w:t>.</w:t>
      </w:r>
      <w:r w:rsidRPr="00E1401E">
        <w:rPr>
          <w:noProof/>
          <w:sz w:val="18"/>
          <w:szCs w:val="18"/>
          <w:lang w:val="en-GB"/>
        </w:rPr>
        <w:t xml:space="preserve"> </w:t>
      </w:r>
      <w:r>
        <w:rPr>
          <w:noProof/>
          <w:sz w:val="18"/>
          <w:szCs w:val="18"/>
          <w:lang w:val="en-GB"/>
        </w:rPr>
        <w:t>*</w:t>
      </w:r>
    </w:p>
    <w:p w:rsidR="00FB3B45" w:rsidRPr="00E1401E" w:rsidRDefault="00FB3B45" w:rsidP="009A773E">
      <w:pPr>
        <w:pStyle w:val="aa"/>
        <w:numPr>
          <w:ilvl w:val="0"/>
          <w:numId w:val="3"/>
        </w:numPr>
        <w:rPr>
          <w:noProof/>
          <w:sz w:val="18"/>
          <w:szCs w:val="18"/>
          <w:lang w:val="en-GB"/>
        </w:rPr>
      </w:pPr>
      <w:r w:rsidRPr="00E1401E">
        <w:rPr>
          <w:noProof/>
          <w:sz w:val="18"/>
          <w:szCs w:val="18"/>
          <w:lang w:val="en-GB"/>
        </w:rPr>
        <w:t>Remove cap, and attach mixer nozzle</w:t>
      </w:r>
      <w:r>
        <w:rPr>
          <w:noProof/>
          <w:sz w:val="18"/>
          <w:szCs w:val="18"/>
          <w:lang w:val="en-GB"/>
        </w:rPr>
        <w:t>.</w:t>
      </w:r>
    </w:p>
    <w:p w:rsidR="00FB3B45" w:rsidRDefault="00FB3B45" w:rsidP="009A773E">
      <w:pPr>
        <w:pStyle w:val="aa"/>
        <w:numPr>
          <w:ilvl w:val="0"/>
          <w:numId w:val="3"/>
        </w:numPr>
        <w:rPr>
          <w:noProof/>
          <w:sz w:val="18"/>
          <w:szCs w:val="18"/>
          <w:lang w:val="en-GB"/>
        </w:rPr>
      </w:pPr>
      <w:r>
        <w:rPr>
          <w:noProof/>
          <w:sz w:val="18"/>
          <w:szCs w:val="18"/>
          <w:lang w:val="en-GB"/>
        </w:rPr>
        <w:t>Dispense sufficient adhesive to ensure equal mix.</w:t>
      </w:r>
    </w:p>
    <w:p w:rsidR="00FB3B45" w:rsidRDefault="00FB3B45" w:rsidP="009A773E">
      <w:pPr>
        <w:pStyle w:val="aa"/>
        <w:numPr>
          <w:ilvl w:val="0"/>
          <w:numId w:val="3"/>
        </w:numPr>
        <w:rPr>
          <w:noProof/>
          <w:sz w:val="18"/>
          <w:szCs w:val="18"/>
          <w:lang w:val="en-GB"/>
        </w:rPr>
      </w:pPr>
      <w:r>
        <w:rPr>
          <w:noProof/>
          <w:sz w:val="18"/>
          <w:szCs w:val="18"/>
          <w:lang w:val="en-GB"/>
        </w:rPr>
        <w:t>Apply adhesive to one suface and assemble components carefully, clamping if required.</w:t>
      </w:r>
    </w:p>
    <w:p w:rsidR="00FB3B45" w:rsidRDefault="00FB3B45" w:rsidP="009A773E">
      <w:pPr>
        <w:pStyle w:val="aa"/>
        <w:numPr>
          <w:ilvl w:val="0"/>
          <w:numId w:val="3"/>
        </w:numPr>
        <w:rPr>
          <w:noProof/>
          <w:sz w:val="18"/>
          <w:szCs w:val="18"/>
          <w:lang w:val="en-GB"/>
        </w:rPr>
      </w:pPr>
      <w:r>
        <w:rPr>
          <w:noProof/>
          <w:sz w:val="18"/>
          <w:szCs w:val="18"/>
          <w:lang w:val="en-GB"/>
        </w:rPr>
        <w:t>It is always easier to remove any excess adhesive prior to cure using a suitable cleaner *</w:t>
      </w:r>
    </w:p>
    <w:p w:rsidR="00FB3B45" w:rsidRPr="00E1401E" w:rsidRDefault="00FB3B45" w:rsidP="009A773E">
      <w:pPr>
        <w:pStyle w:val="aa"/>
        <w:numPr>
          <w:ilvl w:val="0"/>
          <w:numId w:val="3"/>
        </w:numPr>
        <w:rPr>
          <w:noProof/>
          <w:sz w:val="18"/>
          <w:szCs w:val="18"/>
          <w:lang w:val="en-GB"/>
        </w:rPr>
      </w:pPr>
      <w:r>
        <w:rPr>
          <w:noProof/>
          <w:sz w:val="18"/>
          <w:szCs w:val="18"/>
          <w:lang w:val="en-GB"/>
        </w:rPr>
        <w:t>Allow the adhesive sufficient time to achieve handling strength before moving or unclamping  components.</w:t>
      </w:r>
    </w:p>
    <w:p w:rsidR="00FB3B45" w:rsidRDefault="00FB3B45" w:rsidP="009A773E">
      <w:pPr>
        <w:pStyle w:val="aa"/>
        <w:ind w:left="0"/>
        <w:rPr>
          <w:noProof/>
          <w:sz w:val="18"/>
          <w:szCs w:val="18"/>
          <w:lang w:val="en-GB"/>
        </w:rPr>
      </w:pPr>
    </w:p>
    <w:p w:rsidR="00FB3B45" w:rsidRDefault="00FB3B45" w:rsidP="009A773E">
      <w:pPr>
        <w:pStyle w:val="aa"/>
        <w:ind w:left="0"/>
        <w:rPr>
          <w:noProof/>
          <w:sz w:val="18"/>
          <w:szCs w:val="18"/>
          <w:lang w:val="en-GB"/>
        </w:rPr>
      </w:pPr>
      <w:r>
        <w:rPr>
          <w:noProof/>
          <w:sz w:val="18"/>
          <w:szCs w:val="18"/>
          <w:lang w:val="en-GB"/>
        </w:rPr>
        <w:t>*(See Bonchem Guide to Bonding for full information and in depth usage instructions)</w:t>
      </w:r>
    </w:p>
    <w:p w:rsidR="00FB3B45" w:rsidRDefault="00FB3B45">
      <w:pPr>
        <w:rPr>
          <w:b/>
          <w:noProof/>
          <w:sz w:val="28"/>
          <w:szCs w:val="28"/>
          <w:lang w:val="en-GB"/>
        </w:rPr>
      </w:pPr>
    </w:p>
    <w:p w:rsidR="00FB3B45" w:rsidRDefault="00FB3B45">
      <w:pPr>
        <w:rPr>
          <w:b/>
          <w:noProof/>
          <w:sz w:val="28"/>
          <w:szCs w:val="28"/>
          <w:lang w:val="en-GB"/>
        </w:rPr>
      </w:pPr>
    </w:p>
    <w:p w:rsidR="00FB3B45" w:rsidRPr="005A79CD" w:rsidRDefault="00FB3B45">
      <w:pPr>
        <w:rPr>
          <w:b/>
          <w:noProof/>
          <w:sz w:val="28"/>
          <w:szCs w:val="28"/>
          <w:lang w:val="en-GB"/>
        </w:rPr>
      </w:pPr>
    </w:p>
    <w:p w:rsidR="00FB3B45" w:rsidRPr="00445F2B" w:rsidRDefault="00FB3B45"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FB3B45" w:rsidRPr="00281873" w:rsidTr="00281873">
        <w:trPr>
          <w:jc w:val="center"/>
        </w:trPr>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Resin</w:t>
            </w:r>
          </w:p>
        </w:tc>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 xml:space="preserve">Bisphenol A </w:t>
            </w:r>
          </w:p>
        </w:tc>
      </w:tr>
      <w:tr w:rsidR="00FB3B45" w:rsidRPr="00281873" w:rsidTr="00281873">
        <w:trPr>
          <w:jc w:val="center"/>
        </w:trPr>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Colour</w:t>
            </w:r>
          </w:p>
        </w:tc>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Clear/Yellow</w:t>
            </w:r>
          </w:p>
        </w:tc>
      </w:tr>
      <w:tr w:rsidR="00FB3B45" w:rsidRPr="00281873" w:rsidTr="00281873">
        <w:trPr>
          <w:jc w:val="center"/>
        </w:trPr>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Viscosity</w:t>
            </w:r>
          </w:p>
        </w:tc>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10,000cps</w:t>
            </w:r>
          </w:p>
        </w:tc>
      </w:tr>
      <w:tr w:rsidR="00FB3B45" w:rsidRPr="00281873" w:rsidTr="00281873">
        <w:trPr>
          <w:jc w:val="center"/>
        </w:trPr>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Mix Ratio</w:t>
            </w:r>
          </w:p>
        </w:tc>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1:1</w:t>
            </w:r>
          </w:p>
        </w:tc>
      </w:tr>
      <w:tr w:rsidR="00FB3B45" w:rsidRPr="00281873" w:rsidTr="00281873">
        <w:trPr>
          <w:jc w:val="center"/>
        </w:trPr>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Cure System</w:t>
            </w:r>
          </w:p>
        </w:tc>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Exothermic</w:t>
            </w:r>
          </w:p>
        </w:tc>
      </w:tr>
      <w:tr w:rsidR="00FB3B45" w:rsidRPr="00281873" w:rsidTr="00281873">
        <w:trPr>
          <w:trHeight w:val="248"/>
          <w:jc w:val="center"/>
        </w:trPr>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 xml:space="preserve">Open Time </w:t>
            </w:r>
          </w:p>
        </w:tc>
        <w:tc>
          <w:tcPr>
            <w:tcW w:w="2271" w:type="dxa"/>
          </w:tcPr>
          <w:p w:rsidR="00FB3B45" w:rsidRPr="00281873" w:rsidRDefault="002F6698" w:rsidP="00281873">
            <w:pPr>
              <w:spacing w:after="0" w:line="240" w:lineRule="auto"/>
              <w:rPr>
                <w:noProof/>
                <w:sz w:val="18"/>
                <w:szCs w:val="18"/>
                <w:lang w:val="en-GB"/>
              </w:rPr>
            </w:pPr>
            <w:r>
              <w:rPr>
                <w:noProof/>
                <w:sz w:val="18"/>
                <w:szCs w:val="18"/>
                <w:lang w:val="en-GB"/>
              </w:rPr>
              <w:t>35</w:t>
            </w:r>
            <w:r w:rsidR="00FB3B45" w:rsidRPr="00281873">
              <w:rPr>
                <w:noProof/>
                <w:sz w:val="18"/>
                <w:szCs w:val="18"/>
                <w:lang w:val="en-GB"/>
              </w:rPr>
              <w:t xml:space="preserve"> Minutes @20</w:t>
            </w:r>
            <w:r w:rsidR="00FB3B45" w:rsidRPr="00281873">
              <w:rPr>
                <w:noProof/>
                <w:sz w:val="18"/>
                <w:szCs w:val="18"/>
                <w:vertAlign w:val="superscript"/>
                <w:lang w:val="en-GB"/>
              </w:rPr>
              <w:t>0</w:t>
            </w:r>
            <w:r w:rsidR="00FB3B45" w:rsidRPr="00281873">
              <w:rPr>
                <w:noProof/>
                <w:sz w:val="18"/>
                <w:szCs w:val="18"/>
                <w:lang w:val="en-GB"/>
              </w:rPr>
              <w:t>C</w:t>
            </w:r>
          </w:p>
        </w:tc>
      </w:tr>
      <w:tr w:rsidR="00FB3B45" w:rsidRPr="00281873" w:rsidTr="00281873">
        <w:trPr>
          <w:trHeight w:val="248"/>
          <w:jc w:val="center"/>
        </w:trPr>
        <w:tc>
          <w:tcPr>
            <w:tcW w:w="2271" w:type="dxa"/>
          </w:tcPr>
          <w:p w:rsidR="00FB3B45" w:rsidRPr="00281873" w:rsidRDefault="00FB3B45" w:rsidP="00281873">
            <w:pPr>
              <w:spacing w:after="0" w:line="240" w:lineRule="auto"/>
              <w:rPr>
                <w:b/>
                <w:noProof/>
                <w:sz w:val="18"/>
                <w:szCs w:val="18"/>
                <w:lang w:val="en-GB"/>
              </w:rPr>
            </w:pPr>
            <w:r w:rsidRPr="00281873">
              <w:rPr>
                <w:noProof/>
                <w:sz w:val="18"/>
                <w:szCs w:val="18"/>
                <w:lang w:val="en-GB"/>
              </w:rPr>
              <w:t>Handling Strength</w:t>
            </w:r>
          </w:p>
        </w:tc>
        <w:tc>
          <w:tcPr>
            <w:tcW w:w="2271" w:type="dxa"/>
          </w:tcPr>
          <w:p w:rsidR="00FB3B45" w:rsidRPr="00281873" w:rsidRDefault="002F6698" w:rsidP="00281873">
            <w:pPr>
              <w:spacing w:after="0" w:line="240" w:lineRule="auto"/>
              <w:rPr>
                <w:noProof/>
                <w:sz w:val="18"/>
                <w:szCs w:val="18"/>
                <w:lang w:val="en-GB"/>
              </w:rPr>
            </w:pPr>
            <w:r>
              <w:rPr>
                <w:noProof/>
                <w:sz w:val="18"/>
                <w:szCs w:val="18"/>
                <w:lang w:val="en-GB"/>
              </w:rPr>
              <w:t>4</w:t>
            </w:r>
            <w:r w:rsidR="00FB3B45" w:rsidRPr="00281873">
              <w:rPr>
                <w:noProof/>
                <w:sz w:val="18"/>
                <w:szCs w:val="18"/>
                <w:lang w:val="en-GB"/>
              </w:rPr>
              <w:t>5 Minutes@ 20</w:t>
            </w:r>
            <w:r w:rsidR="00FB3B45" w:rsidRPr="00281873">
              <w:rPr>
                <w:noProof/>
                <w:sz w:val="18"/>
                <w:szCs w:val="18"/>
                <w:vertAlign w:val="superscript"/>
                <w:lang w:val="en-GB"/>
              </w:rPr>
              <w:t>0</w:t>
            </w:r>
            <w:r w:rsidR="00FB3B45" w:rsidRPr="00281873">
              <w:rPr>
                <w:noProof/>
                <w:sz w:val="18"/>
                <w:szCs w:val="18"/>
                <w:lang w:val="en-GB"/>
              </w:rPr>
              <w:t>C</w:t>
            </w:r>
          </w:p>
        </w:tc>
      </w:tr>
      <w:tr w:rsidR="00FB3B45" w:rsidRPr="00281873" w:rsidTr="00281873">
        <w:trPr>
          <w:trHeight w:val="248"/>
          <w:jc w:val="center"/>
        </w:trPr>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Full Cure</w:t>
            </w:r>
          </w:p>
        </w:tc>
        <w:tc>
          <w:tcPr>
            <w:tcW w:w="2271" w:type="dxa"/>
          </w:tcPr>
          <w:p w:rsidR="00FB3B45" w:rsidRPr="00281873" w:rsidRDefault="00FB3B45" w:rsidP="00281873">
            <w:pPr>
              <w:spacing w:after="0" w:line="240" w:lineRule="auto"/>
              <w:rPr>
                <w:noProof/>
                <w:sz w:val="18"/>
                <w:szCs w:val="18"/>
                <w:lang w:val="en-GB"/>
              </w:rPr>
            </w:pPr>
            <w:r w:rsidRPr="00281873">
              <w:rPr>
                <w:noProof/>
                <w:sz w:val="18"/>
                <w:szCs w:val="18"/>
                <w:lang w:val="en-GB"/>
              </w:rPr>
              <w:t>24 hours @ 20</w:t>
            </w:r>
            <w:r w:rsidRPr="00281873">
              <w:rPr>
                <w:noProof/>
                <w:sz w:val="18"/>
                <w:szCs w:val="18"/>
                <w:vertAlign w:val="superscript"/>
                <w:lang w:val="en-GB"/>
              </w:rPr>
              <w:t>0</w:t>
            </w:r>
            <w:r w:rsidRPr="00281873">
              <w:rPr>
                <w:noProof/>
                <w:sz w:val="18"/>
                <w:szCs w:val="18"/>
                <w:lang w:val="en-GB"/>
              </w:rPr>
              <w:t>C</w:t>
            </w:r>
          </w:p>
        </w:tc>
      </w:tr>
    </w:tbl>
    <w:p w:rsidR="00FB3B45" w:rsidRDefault="00FB3B45">
      <w:pPr>
        <w:rPr>
          <w:b/>
          <w:noProof/>
          <w:sz w:val="28"/>
          <w:szCs w:val="28"/>
          <w:lang w:val="en-GB"/>
        </w:rPr>
      </w:pPr>
    </w:p>
    <w:p w:rsidR="00FB3B45" w:rsidRDefault="00FB3B45">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FB3B45" w:rsidRPr="00281873" w:rsidTr="00281873">
        <w:trPr>
          <w:trHeight w:val="248"/>
          <w:jc w:val="center"/>
        </w:trPr>
        <w:tc>
          <w:tcPr>
            <w:tcW w:w="2285" w:type="dxa"/>
          </w:tcPr>
          <w:p w:rsidR="00FB3B45" w:rsidRPr="00281873" w:rsidRDefault="00FF3EB2" w:rsidP="00281873">
            <w:pPr>
              <w:spacing w:after="0" w:line="240" w:lineRule="auto"/>
              <w:rPr>
                <w:noProof/>
                <w:sz w:val="18"/>
                <w:szCs w:val="18"/>
                <w:lang w:val="en-GB"/>
              </w:rPr>
            </w:pPr>
            <w:r>
              <w:rPr>
                <w:noProof/>
                <w:sz w:val="18"/>
                <w:szCs w:val="18"/>
                <w:lang w:val="en-GB"/>
              </w:rPr>
              <w:t>Shore Hardness</w:t>
            </w:r>
          </w:p>
        </w:tc>
        <w:tc>
          <w:tcPr>
            <w:tcW w:w="2285" w:type="dxa"/>
          </w:tcPr>
          <w:p w:rsidR="00FB3B45" w:rsidRPr="00281873" w:rsidRDefault="00FF3EB2" w:rsidP="00281873">
            <w:pPr>
              <w:spacing w:after="0" w:line="240" w:lineRule="auto"/>
              <w:rPr>
                <w:noProof/>
                <w:sz w:val="18"/>
                <w:szCs w:val="18"/>
                <w:lang w:val="en-GB"/>
              </w:rPr>
            </w:pPr>
            <w:r>
              <w:rPr>
                <w:noProof/>
                <w:sz w:val="18"/>
                <w:szCs w:val="18"/>
                <w:lang w:val="en-GB"/>
              </w:rPr>
              <w:t>85 Shore D</w:t>
            </w:r>
          </w:p>
        </w:tc>
      </w:tr>
      <w:tr w:rsidR="00FB3B45" w:rsidRPr="00281873" w:rsidTr="00281873">
        <w:trPr>
          <w:trHeight w:val="248"/>
          <w:jc w:val="center"/>
        </w:trPr>
        <w:tc>
          <w:tcPr>
            <w:tcW w:w="2285" w:type="dxa"/>
          </w:tcPr>
          <w:p w:rsidR="00FB3B45" w:rsidRPr="00FF3EB2" w:rsidRDefault="00FF3EB2" w:rsidP="00281873">
            <w:pPr>
              <w:spacing w:after="0" w:line="240" w:lineRule="auto"/>
              <w:rPr>
                <w:noProof/>
                <w:sz w:val="18"/>
                <w:szCs w:val="18"/>
                <w:lang w:val="en-GB"/>
              </w:rPr>
            </w:pPr>
            <w:r w:rsidRPr="00FF3EB2">
              <w:rPr>
                <w:noProof/>
                <w:sz w:val="18"/>
                <w:szCs w:val="18"/>
                <w:lang w:val="en-GB"/>
              </w:rPr>
              <w:t>Chemical Resistance</w:t>
            </w:r>
          </w:p>
        </w:tc>
        <w:tc>
          <w:tcPr>
            <w:tcW w:w="2285" w:type="dxa"/>
          </w:tcPr>
          <w:p w:rsidR="00FB3B45" w:rsidRPr="00281873" w:rsidRDefault="00FF3EB2" w:rsidP="00281873">
            <w:pPr>
              <w:spacing w:after="0" w:line="240" w:lineRule="auto"/>
              <w:rPr>
                <w:noProof/>
                <w:sz w:val="18"/>
                <w:szCs w:val="18"/>
                <w:lang w:val="en-GB"/>
              </w:rPr>
            </w:pPr>
            <w:r>
              <w:rPr>
                <w:noProof/>
                <w:sz w:val="18"/>
                <w:szCs w:val="18"/>
                <w:lang w:val="en-GB"/>
              </w:rPr>
              <w:t>Good</w:t>
            </w:r>
          </w:p>
        </w:tc>
      </w:tr>
      <w:tr w:rsidR="00FB3B45" w:rsidRPr="00281873" w:rsidTr="00281873">
        <w:trPr>
          <w:trHeight w:val="263"/>
          <w:jc w:val="center"/>
        </w:trPr>
        <w:tc>
          <w:tcPr>
            <w:tcW w:w="2285" w:type="dxa"/>
          </w:tcPr>
          <w:p w:rsidR="00FB3B45" w:rsidRPr="00281873" w:rsidRDefault="00FB3B45" w:rsidP="00281873">
            <w:pPr>
              <w:spacing w:after="0" w:line="240" w:lineRule="auto"/>
              <w:rPr>
                <w:noProof/>
                <w:sz w:val="18"/>
                <w:szCs w:val="18"/>
                <w:lang w:val="en-GB"/>
              </w:rPr>
            </w:pPr>
            <w:r w:rsidRPr="00281873">
              <w:rPr>
                <w:noProof/>
                <w:sz w:val="18"/>
                <w:szCs w:val="18"/>
                <w:lang w:val="en-GB"/>
              </w:rPr>
              <w:t>Gap Fill</w:t>
            </w:r>
          </w:p>
        </w:tc>
        <w:tc>
          <w:tcPr>
            <w:tcW w:w="2285" w:type="dxa"/>
          </w:tcPr>
          <w:p w:rsidR="00FB3B45" w:rsidRPr="00281873" w:rsidRDefault="00B12D8E" w:rsidP="00281873">
            <w:pPr>
              <w:spacing w:after="0" w:line="240" w:lineRule="auto"/>
              <w:rPr>
                <w:noProof/>
                <w:sz w:val="18"/>
                <w:szCs w:val="18"/>
                <w:lang w:val="en-GB"/>
              </w:rPr>
            </w:pPr>
            <w:r>
              <w:rPr>
                <w:noProof/>
                <w:sz w:val="18"/>
                <w:szCs w:val="18"/>
                <w:lang w:val="en-GB"/>
              </w:rPr>
              <w:t>3</w:t>
            </w:r>
            <w:r w:rsidR="00FB3B45" w:rsidRPr="00281873">
              <w:rPr>
                <w:noProof/>
                <w:sz w:val="18"/>
                <w:szCs w:val="18"/>
                <w:lang w:val="en-GB"/>
              </w:rPr>
              <w:t>mm</w:t>
            </w:r>
          </w:p>
        </w:tc>
      </w:tr>
      <w:tr w:rsidR="00FB3B45" w:rsidRPr="00281873" w:rsidTr="00281873">
        <w:trPr>
          <w:trHeight w:val="248"/>
          <w:jc w:val="center"/>
        </w:trPr>
        <w:tc>
          <w:tcPr>
            <w:tcW w:w="2285" w:type="dxa"/>
          </w:tcPr>
          <w:p w:rsidR="00FB3B45" w:rsidRPr="00281873" w:rsidRDefault="00FB3B45" w:rsidP="00281873">
            <w:pPr>
              <w:spacing w:after="0" w:line="240" w:lineRule="auto"/>
              <w:rPr>
                <w:noProof/>
                <w:sz w:val="18"/>
                <w:szCs w:val="18"/>
                <w:lang w:val="en-GB"/>
              </w:rPr>
            </w:pPr>
            <w:smartTag w:uri="urn:schemas-microsoft-com:office:smarttags" w:element="place">
              <w:smartTag w:uri="urn:schemas-microsoft-com:office:smarttags" w:element="PlaceName">
                <w:r w:rsidRPr="00281873">
                  <w:rPr>
                    <w:noProof/>
                    <w:sz w:val="18"/>
                    <w:szCs w:val="18"/>
                    <w:lang w:val="en-GB"/>
                  </w:rPr>
                  <w:t>Temperature</w:t>
                </w:r>
              </w:smartTag>
              <w:r w:rsidRPr="00281873">
                <w:rPr>
                  <w:noProof/>
                  <w:sz w:val="18"/>
                  <w:szCs w:val="18"/>
                  <w:lang w:val="en-GB"/>
                </w:rPr>
                <w:t xml:space="preserve"> </w:t>
              </w:r>
              <w:smartTag w:uri="urn:schemas-microsoft-com:office:smarttags" w:element="PlaceType">
                <w:r w:rsidRPr="00281873">
                  <w:rPr>
                    <w:noProof/>
                    <w:sz w:val="18"/>
                    <w:szCs w:val="18"/>
                    <w:lang w:val="en-GB"/>
                  </w:rPr>
                  <w:t>Range</w:t>
                </w:r>
              </w:smartTag>
            </w:smartTag>
          </w:p>
        </w:tc>
        <w:tc>
          <w:tcPr>
            <w:tcW w:w="2285" w:type="dxa"/>
          </w:tcPr>
          <w:p w:rsidR="00FB3B45" w:rsidRPr="00281873" w:rsidRDefault="00FB3B45" w:rsidP="00281873">
            <w:pPr>
              <w:spacing w:after="0" w:line="240" w:lineRule="auto"/>
              <w:rPr>
                <w:noProof/>
                <w:sz w:val="18"/>
                <w:szCs w:val="18"/>
                <w:lang w:val="en-GB"/>
              </w:rPr>
            </w:pPr>
            <w:r w:rsidRPr="00281873">
              <w:rPr>
                <w:noProof/>
                <w:sz w:val="18"/>
                <w:szCs w:val="18"/>
                <w:lang w:val="en-GB"/>
              </w:rPr>
              <w:t>-50</w:t>
            </w:r>
            <w:r w:rsidRPr="00281873">
              <w:rPr>
                <w:noProof/>
                <w:sz w:val="18"/>
                <w:szCs w:val="18"/>
                <w:vertAlign w:val="superscript"/>
                <w:lang w:val="en-GB"/>
              </w:rPr>
              <w:t>0</w:t>
            </w:r>
            <w:r w:rsidR="00B12D8E">
              <w:rPr>
                <w:noProof/>
                <w:sz w:val="18"/>
                <w:szCs w:val="18"/>
                <w:lang w:val="en-GB"/>
              </w:rPr>
              <w:t>C to 6</w:t>
            </w:r>
            <w:r w:rsidRPr="00281873">
              <w:rPr>
                <w:noProof/>
                <w:sz w:val="18"/>
                <w:szCs w:val="18"/>
                <w:lang w:val="en-GB"/>
              </w:rPr>
              <w:t>0</w:t>
            </w:r>
            <w:r w:rsidRPr="00281873">
              <w:rPr>
                <w:noProof/>
                <w:sz w:val="18"/>
                <w:szCs w:val="18"/>
                <w:vertAlign w:val="superscript"/>
                <w:lang w:val="en-GB"/>
              </w:rPr>
              <w:t>0</w:t>
            </w:r>
            <w:r w:rsidRPr="00281873">
              <w:rPr>
                <w:noProof/>
                <w:sz w:val="18"/>
                <w:szCs w:val="18"/>
                <w:lang w:val="en-GB"/>
              </w:rPr>
              <w:t>C</w:t>
            </w:r>
          </w:p>
        </w:tc>
      </w:tr>
    </w:tbl>
    <w:p w:rsidR="00FB3B45" w:rsidRDefault="00FB3B45">
      <w:pPr>
        <w:rPr>
          <w:b/>
          <w:noProof/>
          <w:sz w:val="28"/>
          <w:szCs w:val="28"/>
          <w:lang w:val="en-GB"/>
        </w:rPr>
      </w:pPr>
    </w:p>
    <w:p w:rsidR="00FB3B45" w:rsidRPr="005A79CD" w:rsidRDefault="00FB3B45">
      <w:pPr>
        <w:rPr>
          <w:b/>
          <w:noProof/>
          <w:sz w:val="28"/>
          <w:szCs w:val="28"/>
          <w:lang w:val="en-GB"/>
        </w:rPr>
      </w:pPr>
      <w:r w:rsidRPr="005A79CD">
        <w:rPr>
          <w:b/>
          <w:noProof/>
          <w:sz w:val="28"/>
          <w:szCs w:val="28"/>
          <w:lang w:val="en-GB"/>
        </w:rPr>
        <w:t>Packaging</w:t>
      </w:r>
    </w:p>
    <w:p w:rsidR="00FB3B45" w:rsidRPr="00E8610B" w:rsidRDefault="0033326E">
      <w:pPr>
        <w:rPr>
          <w:noProof/>
          <w:sz w:val="18"/>
          <w:szCs w:val="18"/>
          <w:lang w:val="en-GB"/>
        </w:rPr>
      </w:pPr>
      <w:r>
        <w:rPr>
          <w:noProof/>
          <w:sz w:val="18"/>
          <w:szCs w:val="18"/>
          <w:lang w:val="en-GB"/>
        </w:rPr>
        <w:t>Holdtite 6030</w:t>
      </w:r>
      <w:bookmarkStart w:id="0" w:name="_GoBack"/>
      <w:bookmarkEnd w:id="0"/>
      <w:r w:rsidR="00FB3B45" w:rsidRPr="00E8610B">
        <w:rPr>
          <w:noProof/>
          <w:sz w:val="18"/>
          <w:szCs w:val="18"/>
          <w:lang w:val="en-GB"/>
        </w:rPr>
        <w:t xml:space="preserve"> </w:t>
      </w:r>
      <w:r w:rsidR="00FB3B45">
        <w:rPr>
          <w:noProof/>
          <w:sz w:val="18"/>
          <w:szCs w:val="18"/>
          <w:lang w:val="en-GB"/>
        </w:rPr>
        <w:t>is available in 25</w:t>
      </w:r>
      <w:r w:rsidR="00FB3B45" w:rsidRPr="00E8610B">
        <w:rPr>
          <w:noProof/>
          <w:sz w:val="18"/>
          <w:szCs w:val="18"/>
          <w:lang w:val="en-GB"/>
        </w:rPr>
        <w:t>ml, 50ml,</w:t>
      </w:r>
      <w:r w:rsidR="00FB3B45">
        <w:rPr>
          <w:noProof/>
          <w:sz w:val="18"/>
          <w:szCs w:val="18"/>
          <w:lang w:val="en-GB"/>
        </w:rPr>
        <w:t xml:space="preserve">and 400ml cartridges.  </w:t>
      </w:r>
    </w:p>
    <w:p w:rsidR="00FB3B45" w:rsidRPr="005A79CD" w:rsidRDefault="00FB3B45">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FB3B45" w:rsidRPr="00E8610B" w:rsidRDefault="0033326E">
      <w:pPr>
        <w:rPr>
          <w:noProof/>
          <w:sz w:val="18"/>
          <w:szCs w:val="18"/>
          <w:lang w:val="en-GB"/>
        </w:rPr>
      </w:pPr>
      <w:r>
        <w:rPr>
          <w:noProof/>
          <w:sz w:val="18"/>
          <w:szCs w:val="18"/>
          <w:lang w:val="en-GB"/>
        </w:rPr>
        <w:t>Holdtite 6030</w:t>
      </w:r>
      <w:r w:rsidR="00FB3B45" w:rsidRPr="00E8610B">
        <w:rPr>
          <w:noProof/>
          <w:sz w:val="18"/>
          <w:szCs w:val="18"/>
          <w:lang w:val="en-GB"/>
        </w:rPr>
        <w:t xml:space="preserve"> sho</w:t>
      </w:r>
      <w:r w:rsidR="00FB3B45">
        <w:rPr>
          <w:noProof/>
          <w:sz w:val="18"/>
          <w:szCs w:val="18"/>
          <w:lang w:val="en-GB"/>
        </w:rPr>
        <w:t>uld be stored in a cool dry area</w:t>
      </w:r>
      <w:r w:rsidR="00FB3B45" w:rsidRPr="00E8610B">
        <w:rPr>
          <w:noProof/>
          <w:sz w:val="18"/>
          <w:szCs w:val="18"/>
          <w:lang w:val="en-GB"/>
        </w:rPr>
        <w:t>, out of direct sunlight.</w:t>
      </w:r>
      <w:r w:rsidR="00FB3B45">
        <w:rPr>
          <w:noProof/>
          <w:sz w:val="18"/>
          <w:szCs w:val="18"/>
          <w:lang w:val="en-GB"/>
        </w:rPr>
        <w:t xml:space="preserve">  Stored correctly , this grade can offer a 12 month shelf life from manufacture.</w:t>
      </w:r>
    </w:p>
    <w:p w:rsidR="00FB3B45" w:rsidRPr="005A79CD" w:rsidRDefault="00FB3B45">
      <w:pPr>
        <w:rPr>
          <w:b/>
          <w:noProof/>
          <w:sz w:val="28"/>
          <w:szCs w:val="28"/>
          <w:lang w:val="en-GB"/>
        </w:rPr>
      </w:pPr>
      <w:r w:rsidRPr="005A79CD">
        <w:rPr>
          <w:b/>
          <w:noProof/>
          <w:sz w:val="28"/>
          <w:szCs w:val="28"/>
          <w:lang w:val="en-GB"/>
        </w:rPr>
        <w:t>Health and Safety in Use</w:t>
      </w:r>
    </w:p>
    <w:p w:rsidR="00FB3B45" w:rsidRPr="00E8610B" w:rsidRDefault="0033326E" w:rsidP="0033326E">
      <w:pPr>
        <w:rPr>
          <w:sz w:val="18"/>
          <w:szCs w:val="18"/>
          <w:lang w:val="en-GB"/>
        </w:rPr>
      </w:pPr>
      <w:r>
        <w:rPr>
          <w:b/>
          <w:noProof/>
          <w:sz w:val="18"/>
          <w:szCs w:val="18"/>
          <w:lang w:val="en-GB"/>
        </w:rPr>
        <w:t>Holdtite 6030</w:t>
      </w:r>
      <w:r w:rsidR="00FB3B45">
        <w:rPr>
          <w:b/>
          <w:noProof/>
          <w:sz w:val="18"/>
          <w:szCs w:val="18"/>
          <w:lang w:val="en-GB"/>
        </w:rPr>
        <w:t xml:space="preserve"> is an epoxy adhesive and should not be used without consulting the MSDS, which contains full information regarding the use of this product,  including Transport, Disposal, Toxicological, Exposure Controls, Accidental Release and First Aid measures essential to the safe use of this product.</w:t>
      </w:r>
    </w:p>
    <w:sectPr w:rsidR="00FB3B45" w:rsidRPr="00E8610B" w:rsidSect="007960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D3" w:rsidRDefault="003249D3" w:rsidP="009D0CCB">
      <w:pPr>
        <w:spacing w:after="0" w:line="240" w:lineRule="auto"/>
      </w:pPr>
      <w:r>
        <w:separator/>
      </w:r>
    </w:p>
  </w:endnote>
  <w:endnote w:type="continuationSeparator" w:id="0">
    <w:p w:rsidR="003249D3" w:rsidRDefault="003249D3"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5" w:rsidRDefault="00FB3B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5" w:rsidRDefault="00FB3B45" w:rsidP="005C69B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FB3B45" w:rsidRPr="005C69B1" w:rsidRDefault="00FB3B45" w:rsidP="005C69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5" w:rsidRDefault="00FB3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D3" w:rsidRDefault="003249D3" w:rsidP="009D0CCB">
      <w:pPr>
        <w:spacing w:after="0" w:line="240" w:lineRule="auto"/>
      </w:pPr>
      <w:r>
        <w:separator/>
      </w:r>
    </w:p>
  </w:footnote>
  <w:footnote w:type="continuationSeparator" w:id="0">
    <w:p w:rsidR="003249D3" w:rsidRDefault="003249D3"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5" w:rsidRDefault="00FB3B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5" w:rsidRDefault="002F6698" w:rsidP="009D0CCB">
    <w:pPr>
      <w:pStyle w:val="a3"/>
      <w:jc w:val="right"/>
    </w:pPr>
    <w:r>
      <w:rPr>
        <w:noProof/>
        <w:lang w:bidi="he-IL"/>
      </w:rPr>
      <w:drawing>
        <wp:inline distT="0" distB="0" distL="0" distR="0">
          <wp:extent cx="3441700" cy="112204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1700" cy="11220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5" w:rsidRDefault="00FB3B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42F37B7"/>
    <w:multiLevelType w:val="hybridMultilevel"/>
    <w:tmpl w:val="4FFE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43BB2"/>
    <w:rsid w:val="00093972"/>
    <w:rsid w:val="000F7F31"/>
    <w:rsid w:val="00151153"/>
    <w:rsid w:val="001D00C5"/>
    <w:rsid w:val="001D309E"/>
    <w:rsid w:val="002737FC"/>
    <w:rsid w:val="00281873"/>
    <w:rsid w:val="002C1D81"/>
    <w:rsid w:val="002F6698"/>
    <w:rsid w:val="003235D8"/>
    <w:rsid w:val="003249D3"/>
    <w:rsid w:val="0033326E"/>
    <w:rsid w:val="003700E5"/>
    <w:rsid w:val="003710A1"/>
    <w:rsid w:val="00445F2B"/>
    <w:rsid w:val="004B725B"/>
    <w:rsid w:val="00541035"/>
    <w:rsid w:val="00542C2C"/>
    <w:rsid w:val="00543CC1"/>
    <w:rsid w:val="005553E6"/>
    <w:rsid w:val="00590048"/>
    <w:rsid w:val="005A7087"/>
    <w:rsid w:val="005A79CD"/>
    <w:rsid w:val="005B0B0F"/>
    <w:rsid w:val="005C69B1"/>
    <w:rsid w:val="006529B0"/>
    <w:rsid w:val="006775C2"/>
    <w:rsid w:val="00707926"/>
    <w:rsid w:val="00794A56"/>
    <w:rsid w:val="007960EB"/>
    <w:rsid w:val="007C5B78"/>
    <w:rsid w:val="007D0A39"/>
    <w:rsid w:val="008D7366"/>
    <w:rsid w:val="008E72CC"/>
    <w:rsid w:val="009A773E"/>
    <w:rsid w:val="009C7A51"/>
    <w:rsid w:val="009D0CCB"/>
    <w:rsid w:val="009F6038"/>
    <w:rsid w:val="00A55149"/>
    <w:rsid w:val="00A932A9"/>
    <w:rsid w:val="00AF0AEE"/>
    <w:rsid w:val="00B12D8E"/>
    <w:rsid w:val="00B25D4E"/>
    <w:rsid w:val="00B33F80"/>
    <w:rsid w:val="00B542DF"/>
    <w:rsid w:val="00B90E96"/>
    <w:rsid w:val="00BA11EE"/>
    <w:rsid w:val="00BA36E0"/>
    <w:rsid w:val="00C0264C"/>
    <w:rsid w:val="00C63FF2"/>
    <w:rsid w:val="00CB4818"/>
    <w:rsid w:val="00CD6747"/>
    <w:rsid w:val="00D23635"/>
    <w:rsid w:val="00E1401E"/>
    <w:rsid w:val="00E361EC"/>
    <w:rsid w:val="00E55AAE"/>
    <w:rsid w:val="00E8610B"/>
    <w:rsid w:val="00E94FEE"/>
    <w:rsid w:val="00E96DF9"/>
    <w:rsid w:val="00F15D0D"/>
    <w:rsid w:val="00F61094"/>
    <w:rsid w:val="00F8130B"/>
    <w:rsid w:val="00FB3B45"/>
    <w:rsid w:val="00FB4B9D"/>
    <w:rsid w:val="00FD1AA4"/>
    <w:rsid w:val="00FF3593"/>
    <w:rsid w:val="00FF3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041C888-266D-47C2-B28D-D31E08A8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9359">
      <w:marLeft w:val="0"/>
      <w:marRight w:val="0"/>
      <w:marTop w:val="0"/>
      <w:marBottom w:val="0"/>
      <w:divBdr>
        <w:top w:val="none" w:sz="0" w:space="0" w:color="auto"/>
        <w:left w:val="none" w:sz="0" w:space="0" w:color="auto"/>
        <w:bottom w:val="none" w:sz="0" w:space="0" w:color="auto"/>
        <w:right w:val="none" w:sz="0" w:space="0" w:color="auto"/>
      </w:divBdr>
    </w:div>
    <w:div w:id="1164859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1865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Technical Datasheet E205</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E205</dc:title>
  <dc:creator>Matthew Darby</dc:creator>
  <cp:lastModifiedBy>Owner</cp:lastModifiedBy>
  <cp:revision>2</cp:revision>
  <cp:lastPrinted>2008-08-01T08:36:00Z</cp:lastPrinted>
  <dcterms:created xsi:type="dcterms:W3CDTF">2017-11-08T06:07:00Z</dcterms:created>
  <dcterms:modified xsi:type="dcterms:W3CDTF">2017-11-08T06:07:00Z</dcterms:modified>
</cp:coreProperties>
</file>