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44" w:rsidRDefault="00163144" w:rsidP="00F059F1">
      <w:pPr>
        <w:rPr>
          <w:b/>
          <w:noProof/>
          <w:sz w:val="32"/>
          <w:szCs w:val="32"/>
          <w:lang w:val="en-GB"/>
        </w:rPr>
      </w:pPr>
      <w:r w:rsidRPr="007D0A39">
        <w:rPr>
          <w:b/>
          <w:noProof/>
          <w:sz w:val="32"/>
          <w:szCs w:val="32"/>
          <w:lang w:val="en-GB"/>
        </w:rPr>
        <w:t>Technical Datasheet</w:t>
      </w:r>
    </w:p>
    <w:p w:rsidR="00F059F1" w:rsidRPr="007D0A39" w:rsidRDefault="00F059F1" w:rsidP="00F059F1">
      <w:pPr>
        <w:rPr>
          <w:b/>
          <w:noProof/>
          <w:sz w:val="32"/>
          <w:szCs w:val="32"/>
          <w:lang w:val="en-GB"/>
        </w:rPr>
      </w:pPr>
      <w:r>
        <w:rPr>
          <w:b/>
          <w:noProof/>
          <w:sz w:val="32"/>
          <w:szCs w:val="32"/>
          <w:lang w:val="en-GB"/>
        </w:rPr>
        <w:t>Holdtite CA25</w:t>
      </w:r>
    </w:p>
    <w:p w:rsidR="00163144" w:rsidRDefault="00163144">
      <w:pPr>
        <w:rPr>
          <w:b/>
          <w:noProof/>
          <w:sz w:val="28"/>
          <w:szCs w:val="28"/>
          <w:lang w:val="en-GB"/>
        </w:rPr>
      </w:pPr>
      <w:r w:rsidRPr="007D0A39">
        <w:rPr>
          <w:b/>
          <w:noProof/>
          <w:sz w:val="28"/>
          <w:szCs w:val="28"/>
          <w:lang w:val="en-GB"/>
        </w:rPr>
        <w:t>Product Description</w:t>
      </w:r>
    </w:p>
    <w:p w:rsidR="00163144" w:rsidRDefault="00F059F1">
      <w:pPr>
        <w:rPr>
          <w:noProof/>
          <w:sz w:val="18"/>
          <w:szCs w:val="18"/>
          <w:lang w:val="en-GB"/>
        </w:rPr>
      </w:pPr>
      <w:r>
        <w:rPr>
          <w:noProof/>
          <w:sz w:val="18"/>
          <w:szCs w:val="18"/>
          <w:lang w:val="en-GB"/>
        </w:rPr>
        <w:t>Holdtite CA25</w:t>
      </w:r>
      <w:r w:rsidR="00163144">
        <w:rPr>
          <w:noProof/>
          <w:sz w:val="18"/>
          <w:szCs w:val="18"/>
          <w:lang w:val="en-GB"/>
        </w:rPr>
        <w:t xml:space="preserve"> is a general purpose cyanoacrylate, formulated to provide high tensile and shear strengths on a wide variety of substrates.  This single component  adhesive has an active cure mechanism, which when pressed into a thin film between two surfaces, will cure almost instantaneously to form a rigid thermoplastic.  </w:t>
      </w:r>
    </w:p>
    <w:p w:rsidR="00163144" w:rsidRDefault="00163144">
      <w:pPr>
        <w:rPr>
          <w:b/>
          <w:noProof/>
          <w:sz w:val="28"/>
          <w:szCs w:val="28"/>
          <w:lang w:val="en-GB"/>
        </w:rPr>
      </w:pPr>
      <w:r w:rsidRPr="005A79CD">
        <w:rPr>
          <w:b/>
          <w:noProof/>
          <w:sz w:val="28"/>
          <w:szCs w:val="28"/>
          <w:lang w:val="en-GB"/>
        </w:rPr>
        <w:t>Typical Applications</w:t>
      </w:r>
    </w:p>
    <w:p w:rsidR="00163144" w:rsidRPr="000C1C33" w:rsidRDefault="00F059F1" w:rsidP="000C1C33">
      <w:pPr>
        <w:rPr>
          <w:noProof/>
          <w:sz w:val="28"/>
          <w:szCs w:val="28"/>
          <w:lang w:val="en-GB"/>
        </w:rPr>
      </w:pPr>
      <w:r>
        <w:rPr>
          <w:noProof/>
          <w:sz w:val="18"/>
          <w:szCs w:val="18"/>
          <w:lang w:val="en-GB"/>
        </w:rPr>
        <w:t>Holdtite CA25</w:t>
      </w:r>
      <w:r w:rsidR="00163144">
        <w:rPr>
          <w:noProof/>
          <w:sz w:val="18"/>
          <w:szCs w:val="18"/>
          <w:lang w:val="en-GB"/>
        </w:rPr>
        <w:t xml:space="preserve"> is used in a huge cross section of industrial applications.  From </w:t>
      </w:r>
      <w:r w:rsidR="00163144" w:rsidRPr="000C1C33">
        <w:rPr>
          <w:noProof/>
          <w:sz w:val="18"/>
          <w:szCs w:val="18"/>
          <w:lang w:val="en-GB"/>
        </w:rPr>
        <w:t>OEM</w:t>
      </w:r>
      <w:r w:rsidR="00163144">
        <w:rPr>
          <w:noProof/>
          <w:sz w:val="18"/>
          <w:szCs w:val="18"/>
          <w:lang w:val="en-GB"/>
        </w:rPr>
        <w:t xml:space="preserve"> to MRO industries, this grade can be used on a variety of  plastic, </w:t>
      </w:r>
      <w:r w:rsidR="00163144" w:rsidRPr="000C1C33">
        <w:rPr>
          <w:noProof/>
          <w:sz w:val="18"/>
          <w:szCs w:val="18"/>
          <w:lang w:val="en-GB"/>
        </w:rPr>
        <w:t>rubber and metal bonding</w:t>
      </w:r>
      <w:r w:rsidR="00163144">
        <w:rPr>
          <w:noProof/>
          <w:sz w:val="18"/>
          <w:szCs w:val="18"/>
          <w:lang w:val="en-GB"/>
        </w:rPr>
        <w:t xml:space="preserve"> applications  including </w:t>
      </w:r>
      <w:r w:rsidR="00163144" w:rsidRPr="000C1C33">
        <w:rPr>
          <w:noProof/>
          <w:sz w:val="18"/>
          <w:szCs w:val="18"/>
          <w:lang w:val="en-GB"/>
        </w:rPr>
        <w:t xml:space="preserve">automotive, white goods </w:t>
      </w:r>
      <w:r w:rsidR="00163144">
        <w:rPr>
          <w:noProof/>
          <w:sz w:val="18"/>
          <w:szCs w:val="18"/>
          <w:lang w:val="en-GB"/>
        </w:rPr>
        <w:t xml:space="preserve">and furniture </w:t>
      </w:r>
      <w:r w:rsidR="00163144" w:rsidRPr="000C1C33">
        <w:rPr>
          <w:noProof/>
          <w:sz w:val="18"/>
          <w:szCs w:val="18"/>
          <w:lang w:val="en-GB"/>
        </w:rPr>
        <w:t>manufacturing</w:t>
      </w:r>
      <w:r w:rsidR="00163144">
        <w:rPr>
          <w:noProof/>
          <w:sz w:val="18"/>
          <w:szCs w:val="18"/>
          <w:lang w:val="en-GB"/>
        </w:rPr>
        <w:t xml:space="preserve">.  Typical examples </w:t>
      </w:r>
      <w:r w:rsidR="007944F8">
        <w:rPr>
          <w:noProof/>
          <w:sz w:val="18"/>
          <w:szCs w:val="18"/>
          <w:lang w:val="en-GB"/>
        </w:rPr>
        <w:t xml:space="preserve">are </w:t>
      </w:r>
      <w:r w:rsidR="00163144">
        <w:rPr>
          <w:noProof/>
          <w:sz w:val="18"/>
          <w:szCs w:val="18"/>
          <w:lang w:val="en-GB"/>
        </w:rPr>
        <w:t>shown below:</w:t>
      </w:r>
    </w:p>
    <w:p w:rsidR="00163144" w:rsidRPr="006C2E46" w:rsidRDefault="00163144" w:rsidP="00900FB9">
      <w:pPr>
        <w:pStyle w:val="aa"/>
        <w:numPr>
          <w:ilvl w:val="0"/>
          <w:numId w:val="6"/>
        </w:numPr>
        <w:rPr>
          <w:noProof/>
          <w:sz w:val="28"/>
          <w:szCs w:val="28"/>
          <w:lang w:val="en-GB"/>
        </w:rPr>
      </w:pPr>
      <w:r>
        <w:rPr>
          <w:noProof/>
          <w:sz w:val="18"/>
          <w:szCs w:val="18"/>
          <w:lang w:val="en-GB"/>
        </w:rPr>
        <w:t>Bonding centre consoles, dashboards and weather stripping</w:t>
      </w:r>
    </w:p>
    <w:p w:rsidR="00163144" w:rsidRPr="000C1C33" w:rsidRDefault="00163144" w:rsidP="00900FB9">
      <w:pPr>
        <w:pStyle w:val="aa"/>
        <w:numPr>
          <w:ilvl w:val="0"/>
          <w:numId w:val="6"/>
        </w:numPr>
        <w:rPr>
          <w:noProof/>
          <w:sz w:val="28"/>
          <w:szCs w:val="28"/>
          <w:lang w:val="en-GB"/>
        </w:rPr>
      </w:pPr>
      <w:r>
        <w:rPr>
          <w:noProof/>
          <w:sz w:val="18"/>
          <w:szCs w:val="18"/>
          <w:lang w:val="en-GB"/>
        </w:rPr>
        <w:t>Bonding identification tags to equipment</w:t>
      </w:r>
    </w:p>
    <w:p w:rsidR="00163144" w:rsidRPr="000C1C33" w:rsidRDefault="00163144" w:rsidP="00900FB9">
      <w:pPr>
        <w:pStyle w:val="aa"/>
        <w:numPr>
          <w:ilvl w:val="0"/>
          <w:numId w:val="6"/>
        </w:numPr>
        <w:rPr>
          <w:noProof/>
          <w:sz w:val="28"/>
          <w:szCs w:val="28"/>
          <w:lang w:val="en-GB"/>
        </w:rPr>
      </w:pPr>
      <w:r>
        <w:rPr>
          <w:noProof/>
          <w:sz w:val="18"/>
          <w:szCs w:val="18"/>
          <w:lang w:val="en-GB"/>
        </w:rPr>
        <w:t>Bonding rubber pads to equipment base or legs</w:t>
      </w:r>
    </w:p>
    <w:p w:rsidR="00163144" w:rsidRPr="000C1C33" w:rsidRDefault="00163144" w:rsidP="00900FB9">
      <w:pPr>
        <w:pStyle w:val="aa"/>
        <w:numPr>
          <w:ilvl w:val="0"/>
          <w:numId w:val="6"/>
        </w:numPr>
        <w:rPr>
          <w:noProof/>
          <w:sz w:val="28"/>
          <w:szCs w:val="28"/>
          <w:lang w:val="en-GB"/>
        </w:rPr>
      </w:pPr>
      <w:r>
        <w:rPr>
          <w:noProof/>
          <w:sz w:val="18"/>
          <w:szCs w:val="18"/>
          <w:lang w:val="en-GB"/>
        </w:rPr>
        <w:t>Bonding components in a speaker cone</w:t>
      </w:r>
    </w:p>
    <w:p w:rsidR="00163144" w:rsidRPr="003746BB" w:rsidRDefault="00163144" w:rsidP="00900FB9">
      <w:pPr>
        <w:pStyle w:val="aa"/>
        <w:numPr>
          <w:ilvl w:val="0"/>
          <w:numId w:val="6"/>
        </w:numPr>
        <w:rPr>
          <w:noProof/>
          <w:sz w:val="28"/>
          <w:szCs w:val="28"/>
          <w:lang w:val="en-GB"/>
        </w:rPr>
      </w:pPr>
      <w:r>
        <w:rPr>
          <w:noProof/>
          <w:sz w:val="18"/>
          <w:szCs w:val="18"/>
          <w:lang w:val="en-GB"/>
        </w:rPr>
        <w:t>Bonding leather and rubber during shoe manufacture</w:t>
      </w:r>
    </w:p>
    <w:p w:rsidR="00163144" w:rsidRPr="003746BB" w:rsidRDefault="00163144" w:rsidP="003746BB">
      <w:pPr>
        <w:pStyle w:val="aa"/>
        <w:numPr>
          <w:ilvl w:val="0"/>
          <w:numId w:val="6"/>
        </w:numPr>
        <w:rPr>
          <w:noProof/>
          <w:sz w:val="28"/>
          <w:szCs w:val="28"/>
          <w:lang w:val="en-GB"/>
        </w:rPr>
      </w:pPr>
      <w:r>
        <w:rPr>
          <w:noProof/>
          <w:sz w:val="18"/>
          <w:szCs w:val="18"/>
          <w:lang w:val="en-GB"/>
        </w:rPr>
        <w:t>Bonding fabric on lampshades</w:t>
      </w:r>
    </w:p>
    <w:p w:rsidR="00163144" w:rsidRPr="005A79CD" w:rsidRDefault="00163144">
      <w:pPr>
        <w:rPr>
          <w:b/>
          <w:noProof/>
          <w:sz w:val="28"/>
          <w:szCs w:val="28"/>
          <w:lang w:val="en-GB"/>
        </w:rPr>
      </w:pPr>
      <w:r w:rsidRPr="005A79CD">
        <w:rPr>
          <w:b/>
          <w:noProof/>
          <w:sz w:val="28"/>
          <w:szCs w:val="28"/>
          <w:lang w:val="en-GB"/>
        </w:rPr>
        <w:t>Instructions For Use</w:t>
      </w:r>
    </w:p>
    <w:p w:rsidR="00163144" w:rsidRDefault="00163144"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 fully.</w:t>
      </w:r>
    </w:p>
    <w:p w:rsidR="00163144" w:rsidRDefault="00163144" w:rsidP="00151153">
      <w:pPr>
        <w:pStyle w:val="aa"/>
        <w:numPr>
          <w:ilvl w:val="0"/>
          <w:numId w:val="3"/>
        </w:numPr>
        <w:rPr>
          <w:noProof/>
          <w:sz w:val="18"/>
          <w:szCs w:val="18"/>
          <w:lang w:val="en-GB"/>
        </w:rPr>
      </w:pPr>
      <w:r>
        <w:rPr>
          <w:noProof/>
          <w:sz w:val="18"/>
          <w:szCs w:val="18"/>
          <w:lang w:val="en-GB"/>
        </w:rPr>
        <w:t>Apply adhesive to one of the mating parts and assemble carefully.</w:t>
      </w:r>
      <w:r w:rsidR="00481594" w:rsidRPr="00481594">
        <w:rPr>
          <w:noProof/>
          <w:sz w:val="18"/>
          <w:szCs w:val="18"/>
          <w:lang w:val="en-GB"/>
        </w:rPr>
        <w:t xml:space="preserve"> </w:t>
      </w:r>
    </w:p>
    <w:p w:rsidR="00163144" w:rsidRDefault="00163144" w:rsidP="00445F2B">
      <w:pPr>
        <w:pStyle w:val="aa"/>
        <w:numPr>
          <w:ilvl w:val="0"/>
          <w:numId w:val="3"/>
        </w:numPr>
        <w:rPr>
          <w:noProof/>
          <w:sz w:val="18"/>
          <w:szCs w:val="18"/>
          <w:lang w:val="en-GB"/>
        </w:rPr>
      </w:pPr>
      <w:r>
        <w:rPr>
          <w:noProof/>
          <w:sz w:val="18"/>
          <w:szCs w:val="18"/>
          <w:lang w:val="en-GB"/>
        </w:rPr>
        <w:t xml:space="preserve">Allow to cure </w:t>
      </w:r>
      <w:r w:rsidR="00481594" w:rsidRPr="00481594">
        <w:rPr>
          <w:noProof/>
          <w:sz w:val="18"/>
          <w:szCs w:val="18"/>
          <w:lang w:val="en-GB"/>
        </w:rPr>
        <w:t xml:space="preserve">fully </w:t>
      </w:r>
      <w:r>
        <w:rPr>
          <w:noProof/>
          <w:sz w:val="18"/>
          <w:szCs w:val="18"/>
          <w:lang w:val="en-GB"/>
        </w:rPr>
        <w:t>before applying load.</w:t>
      </w:r>
    </w:p>
    <w:p w:rsidR="00163144" w:rsidRPr="009C7A51" w:rsidRDefault="00163144" w:rsidP="00445F2B">
      <w:pPr>
        <w:pStyle w:val="aa"/>
        <w:numPr>
          <w:ilvl w:val="0"/>
          <w:numId w:val="3"/>
        </w:numPr>
        <w:rPr>
          <w:noProof/>
          <w:sz w:val="18"/>
          <w:szCs w:val="18"/>
          <w:lang w:val="en-GB"/>
        </w:rPr>
      </w:pPr>
      <w:r>
        <w:rPr>
          <w:noProof/>
          <w:sz w:val="18"/>
          <w:szCs w:val="18"/>
          <w:lang w:val="en-GB"/>
        </w:rPr>
        <w:t xml:space="preserve">Excess adhesive can be carefully cleaned up with cleaning solvents such </w:t>
      </w:r>
      <w:r w:rsidR="007944F8">
        <w:rPr>
          <w:noProof/>
          <w:sz w:val="18"/>
          <w:szCs w:val="18"/>
          <w:lang w:val="en-GB"/>
        </w:rPr>
        <w:t xml:space="preserve">as </w:t>
      </w:r>
      <w:r>
        <w:rPr>
          <w:noProof/>
          <w:sz w:val="18"/>
          <w:szCs w:val="18"/>
          <w:lang w:val="en-GB"/>
        </w:rPr>
        <w:t>acetone.</w:t>
      </w:r>
    </w:p>
    <w:p w:rsidR="00163144" w:rsidRDefault="00163144" w:rsidP="00445F2B">
      <w:pPr>
        <w:rPr>
          <w:b/>
          <w:noProof/>
          <w:sz w:val="28"/>
          <w:szCs w:val="28"/>
          <w:lang w:val="en-GB"/>
        </w:rPr>
      </w:pPr>
    </w:p>
    <w:p w:rsidR="00163144" w:rsidRDefault="00163144" w:rsidP="00445F2B">
      <w:pPr>
        <w:rPr>
          <w:b/>
          <w:noProof/>
          <w:sz w:val="28"/>
          <w:szCs w:val="28"/>
          <w:lang w:val="en-GB"/>
        </w:rPr>
      </w:pPr>
    </w:p>
    <w:p w:rsidR="00163144" w:rsidRDefault="00163144" w:rsidP="00445F2B">
      <w:pPr>
        <w:rPr>
          <w:b/>
          <w:noProof/>
          <w:sz w:val="28"/>
          <w:szCs w:val="28"/>
          <w:lang w:val="en-GB"/>
        </w:rPr>
      </w:pPr>
    </w:p>
    <w:p w:rsidR="00163144" w:rsidRPr="00445F2B" w:rsidRDefault="00163144"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163144" w:rsidRPr="00805D66" w:rsidTr="00805D66">
        <w:trPr>
          <w:jc w:val="center"/>
        </w:trPr>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Resin</w:t>
            </w:r>
          </w:p>
        </w:tc>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Ethyl Cyanoacrylate</w:t>
            </w:r>
          </w:p>
        </w:tc>
      </w:tr>
      <w:tr w:rsidR="00163144" w:rsidRPr="00805D66" w:rsidTr="00805D66">
        <w:trPr>
          <w:jc w:val="center"/>
        </w:trPr>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Appearance</w:t>
            </w:r>
          </w:p>
        </w:tc>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Colourless liquid</w:t>
            </w:r>
          </w:p>
        </w:tc>
      </w:tr>
      <w:tr w:rsidR="00163144" w:rsidRPr="00805D66" w:rsidTr="00805D66">
        <w:trPr>
          <w:jc w:val="center"/>
        </w:trPr>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 xml:space="preserve">Viscosity </w:t>
            </w:r>
          </w:p>
        </w:tc>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50cps</w:t>
            </w:r>
          </w:p>
        </w:tc>
      </w:tr>
      <w:tr w:rsidR="00163144" w:rsidRPr="00805D66" w:rsidTr="00805D66">
        <w:trPr>
          <w:jc w:val="center"/>
        </w:trPr>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Cure System</w:t>
            </w:r>
          </w:p>
        </w:tc>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Humidity</w:t>
            </w:r>
          </w:p>
        </w:tc>
      </w:tr>
    </w:tbl>
    <w:p w:rsidR="00163144" w:rsidRDefault="00163144">
      <w:pPr>
        <w:rPr>
          <w:noProof/>
          <w:sz w:val="20"/>
          <w:szCs w:val="20"/>
          <w:lang w:val="en-GB"/>
        </w:rPr>
      </w:pPr>
    </w:p>
    <w:p w:rsidR="00163144" w:rsidRDefault="00163144">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163144" w:rsidRPr="00805D66" w:rsidTr="00805D66">
        <w:trPr>
          <w:trHeight w:val="248"/>
          <w:jc w:val="center"/>
        </w:trPr>
        <w:tc>
          <w:tcPr>
            <w:tcW w:w="2285" w:type="dxa"/>
          </w:tcPr>
          <w:p w:rsidR="00163144" w:rsidRPr="00805D66" w:rsidRDefault="00163144" w:rsidP="00805D66">
            <w:pPr>
              <w:spacing w:after="0" w:line="240" w:lineRule="auto"/>
              <w:rPr>
                <w:noProof/>
                <w:sz w:val="18"/>
                <w:szCs w:val="18"/>
                <w:lang w:val="en-GB"/>
              </w:rPr>
            </w:pPr>
            <w:r w:rsidRPr="00805D66">
              <w:rPr>
                <w:noProof/>
                <w:sz w:val="18"/>
                <w:szCs w:val="18"/>
                <w:lang w:val="en-GB"/>
              </w:rPr>
              <w:t xml:space="preserve">Fixture Speed </w:t>
            </w:r>
          </w:p>
        </w:tc>
        <w:tc>
          <w:tcPr>
            <w:tcW w:w="2285" w:type="dxa"/>
          </w:tcPr>
          <w:p w:rsidR="00163144" w:rsidRPr="00805D66" w:rsidRDefault="00481594" w:rsidP="00805D66">
            <w:pPr>
              <w:spacing w:after="0" w:line="240" w:lineRule="auto"/>
              <w:rPr>
                <w:noProof/>
                <w:sz w:val="18"/>
                <w:szCs w:val="18"/>
                <w:lang w:val="en-GB"/>
              </w:rPr>
            </w:pPr>
            <w:r>
              <w:rPr>
                <w:noProof/>
                <w:sz w:val="18"/>
                <w:szCs w:val="18"/>
                <w:lang w:val="en-GB"/>
              </w:rPr>
              <w:t>&lt; 7 s</w:t>
            </w:r>
            <w:r w:rsidR="00163144" w:rsidRPr="00805D66">
              <w:rPr>
                <w:noProof/>
                <w:sz w:val="18"/>
                <w:szCs w:val="18"/>
                <w:lang w:val="en-GB"/>
              </w:rPr>
              <w:t>econds @ 20</w:t>
            </w:r>
            <w:r w:rsidR="007944F8">
              <w:rPr>
                <w:noProof/>
                <w:sz w:val="18"/>
                <w:szCs w:val="18"/>
                <w:lang w:val="en-GB"/>
              </w:rPr>
              <w:t>°</w:t>
            </w:r>
            <w:r w:rsidR="00163144" w:rsidRPr="00805D66">
              <w:rPr>
                <w:noProof/>
                <w:sz w:val="18"/>
                <w:szCs w:val="18"/>
                <w:lang w:val="en-GB"/>
              </w:rPr>
              <w:t>C</w:t>
            </w:r>
          </w:p>
        </w:tc>
      </w:tr>
      <w:tr w:rsidR="00163144" w:rsidRPr="00805D66" w:rsidTr="00805D66">
        <w:trPr>
          <w:trHeight w:val="248"/>
          <w:jc w:val="center"/>
        </w:trPr>
        <w:tc>
          <w:tcPr>
            <w:tcW w:w="2285" w:type="dxa"/>
          </w:tcPr>
          <w:p w:rsidR="00163144" w:rsidRPr="00805D66" w:rsidRDefault="00163144" w:rsidP="00805D66">
            <w:pPr>
              <w:spacing w:after="0" w:line="240" w:lineRule="auto"/>
              <w:rPr>
                <w:b/>
                <w:noProof/>
                <w:sz w:val="18"/>
                <w:szCs w:val="18"/>
                <w:lang w:val="en-GB"/>
              </w:rPr>
            </w:pPr>
            <w:r w:rsidRPr="00805D66">
              <w:rPr>
                <w:noProof/>
                <w:sz w:val="18"/>
                <w:szCs w:val="18"/>
                <w:lang w:val="en-GB"/>
              </w:rPr>
              <w:t>Full Cure Time</w:t>
            </w:r>
          </w:p>
        </w:tc>
        <w:tc>
          <w:tcPr>
            <w:tcW w:w="2285" w:type="dxa"/>
          </w:tcPr>
          <w:p w:rsidR="00163144" w:rsidRPr="007944F8" w:rsidRDefault="00163144" w:rsidP="00805D66">
            <w:pPr>
              <w:spacing w:after="0" w:line="240" w:lineRule="auto"/>
              <w:rPr>
                <w:noProof/>
                <w:sz w:val="18"/>
                <w:szCs w:val="18"/>
                <w:vertAlign w:val="superscript"/>
                <w:lang w:val="en-GB"/>
              </w:rPr>
            </w:pPr>
            <w:r w:rsidRPr="00805D66">
              <w:rPr>
                <w:noProof/>
                <w:sz w:val="18"/>
                <w:szCs w:val="18"/>
                <w:lang w:val="en-GB"/>
              </w:rPr>
              <w:t>24 hours @ 20</w:t>
            </w:r>
            <w:r w:rsidR="007944F8">
              <w:rPr>
                <w:noProof/>
                <w:sz w:val="18"/>
                <w:szCs w:val="18"/>
                <w:lang w:val="en-GB"/>
              </w:rPr>
              <w:t>°</w:t>
            </w:r>
            <w:r w:rsidRPr="00805D66">
              <w:rPr>
                <w:noProof/>
                <w:sz w:val="18"/>
                <w:szCs w:val="18"/>
                <w:lang w:val="en-GB"/>
              </w:rPr>
              <w:t>C</w:t>
            </w:r>
          </w:p>
        </w:tc>
      </w:tr>
      <w:tr w:rsidR="00163144" w:rsidRPr="00805D66" w:rsidTr="00805D66">
        <w:trPr>
          <w:trHeight w:val="248"/>
          <w:jc w:val="center"/>
        </w:trPr>
        <w:tc>
          <w:tcPr>
            <w:tcW w:w="2285" w:type="dxa"/>
          </w:tcPr>
          <w:p w:rsidR="00163144" w:rsidRPr="00805D66" w:rsidRDefault="00163144" w:rsidP="00805D66">
            <w:pPr>
              <w:spacing w:after="0" w:line="240" w:lineRule="auto"/>
              <w:rPr>
                <w:noProof/>
                <w:sz w:val="18"/>
                <w:szCs w:val="18"/>
                <w:lang w:val="en-GB"/>
              </w:rPr>
            </w:pPr>
            <w:r w:rsidRPr="00805D66">
              <w:rPr>
                <w:noProof/>
                <w:sz w:val="18"/>
                <w:szCs w:val="18"/>
                <w:lang w:val="en-GB"/>
              </w:rPr>
              <w:t>Typical  Strength</w:t>
            </w:r>
          </w:p>
        </w:tc>
        <w:tc>
          <w:tcPr>
            <w:tcW w:w="2285" w:type="dxa"/>
          </w:tcPr>
          <w:p w:rsidR="00163144" w:rsidRPr="00805D66" w:rsidRDefault="00163144" w:rsidP="00805D66">
            <w:pPr>
              <w:spacing w:after="0" w:line="240" w:lineRule="auto"/>
              <w:rPr>
                <w:noProof/>
                <w:sz w:val="18"/>
                <w:szCs w:val="18"/>
                <w:lang w:val="en-GB"/>
              </w:rPr>
            </w:pPr>
            <w:r w:rsidRPr="00805D66">
              <w:rPr>
                <w:noProof/>
                <w:sz w:val="18"/>
                <w:szCs w:val="18"/>
                <w:lang w:val="en-GB"/>
              </w:rPr>
              <w:t>5 to 28 N/mm</w:t>
            </w:r>
            <w:r w:rsidRPr="00805D66">
              <w:rPr>
                <w:noProof/>
                <w:sz w:val="18"/>
                <w:szCs w:val="18"/>
                <w:vertAlign w:val="superscript"/>
                <w:lang w:val="en-GB"/>
              </w:rPr>
              <w:t>2</w:t>
            </w:r>
          </w:p>
        </w:tc>
      </w:tr>
      <w:tr w:rsidR="00163144" w:rsidRPr="00805D66" w:rsidTr="00805D66">
        <w:trPr>
          <w:trHeight w:val="263"/>
          <w:jc w:val="center"/>
        </w:trPr>
        <w:tc>
          <w:tcPr>
            <w:tcW w:w="2285" w:type="dxa"/>
          </w:tcPr>
          <w:p w:rsidR="00163144" w:rsidRPr="00805D66" w:rsidRDefault="00163144" w:rsidP="00805D66">
            <w:pPr>
              <w:spacing w:after="0" w:line="240" w:lineRule="auto"/>
              <w:rPr>
                <w:noProof/>
                <w:sz w:val="18"/>
                <w:szCs w:val="18"/>
                <w:lang w:val="en-GB"/>
              </w:rPr>
            </w:pPr>
            <w:r w:rsidRPr="00805D66">
              <w:rPr>
                <w:noProof/>
                <w:sz w:val="18"/>
                <w:szCs w:val="18"/>
                <w:lang w:val="en-GB"/>
              </w:rPr>
              <w:t>Gap Fill</w:t>
            </w:r>
          </w:p>
        </w:tc>
        <w:tc>
          <w:tcPr>
            <w:tcW w:w="2285" w:type="dxa"/>
          </w:tcPr>
          <w:p w:rsidR="00163144" w:rsidRPr="00805D66" w:rsidRDefault="00163144" w:rsidP="00805D66">
            <w:pPr>
              <w:spacing w:after="0" w:line="240" w:lineRule="auto"/>
              <w:rPr>
                <w:noProof/>
                <w:sz w:val="18"/>
                <w:szCs w:val="18"/>
                <w:lang w:val="en-GB"/>
              </w:rPr>
            </w:pPr>
            <w:r w:rsidRPr="00805D66">
              <w:rPr>
                <w:noProof/>
                <w:sz w:val="18"/>
                <w:szCs w:val="18"/>
                <w:lang w:val="en-GB"/>
              </w:rPr>
              <w:t>0.1mm</w:t>
            </w:r>
          </w:p>
        </w:tc>
      </w:tr>
      <w:tr w:rsidR="00163144" w:rsidRPr="00805D66" w:rsidTr="00805D66">
        <w:trPr>
          <w:trHeight w:val="248"/>
          <w:jc w:val="center"/>
        </w:trPr>
        <w:tc>
          <w:tcPr>
            <w:tcW w:w="2285" w:type="dxa"/>
          </w:tcPr>
          <w:p w:rsidR="00163144" w:rsidRPr="00805D66" w:rsidRDefault="00163144" w:rsidP="00805D66">
            <w:pPr>
              <w:spacing w:after="0" w:line="240" w:lineRule="auto"/>
              <w:rPr>
                <w:noProof/>
                <w:sz w:val="18"/>
                <w:szCs w:val="18"/>
                <w:lang w:val="en-GB"/>
              </w:rPr>
            </w:pPr>
            <w:smartTag w:uri="urn:schemas-microsoft-com:office:smarttags" w:element="place">
              <w:smartTag w:uri="urn:schemas-microsoft-com:office:smarttags" w:element="PlaceName">
                <w:r w:rsidRPr="00805D66">
                  <w:rPr>
                    <w:noProof/>
                    <w:sz w:val="18"/>
                    <w:szCs w:val="18"/>
                    <w:lang w:val="en-GB"/>
                  </w:rPr>
                  <w:t>Temperature</w:t>
                </w:r>
              </w:smartTag>
              <w:r w:rsidRPr="00805D66">
                <w:rPr>
                  <w:noProof/>
                  <w:sz w:val="18"/>
                  <w:szCs w:val="18"/>
                  <w:lang w:val="en-GB"/>
                </w:rPr>
                <w:t xml:space="preserve"> </w:t>
              </w:r>
              <w:smartTag w:uri="urn:schemas-microsoft-com:office:smarttags" w:element="PlaceType">
                <w:r w:rsidRPr="00805D66">
                  <w:rPr>
                    <w:noProof/>
                    <w:sz w:val="18"/>
                    <w:szCs w:val="18"/>
                    <w:lang w:val="en-GB"/>
                  </w:rPr>
                  <w:t>Range</w:t>
                </w:r>
              </w:smartTag>
            </w:smartTag>
          </w:p>
        </w:tc>
        <w:tc>
          <w:tcPr>
            <w:tcW w:w="2285" w:type="dxa"/>
          </w:tcPr>
          <w:p w:rsidR="00163144" w:rsidRPr="00805D66" w:rsidRDefault="00163144" w:rsidP="00805D66">
            <w:pPr>
              <w:spacing w:after="0" w:line="240" w:lineRule="auto"/>
              <w:rPr>
                <w:noProof/>
                <w:sz w:val="18"/>
                <w:szCs w:val="18"/>
                <w:lang w:val="en-GB"/>
              </w:rPr>
            </w:pPr>
            <w:r w:rsidRPr="00805D66">
              <w:rPr>
                <w:noProof/>
                <w:sz w:val="18"/>
                <w:szCs w:val="18"/>
                <w:lang w:val="en-GB"/>
              </w:rPr>
              <w:t>-55</w:t>
            </w:r>
            <w:r>
              <w:rPr>
                <w:noProof/>
                <w:sz w:val="18"/>
                <w:szCs w:val="18"/>
                <w:lang w:val="en-GB"/>
              </w:rPr>
              <w:t>°C</w:t>
            </w:r>
            <w:r w:rsidRPr="00805D66">
              <w:rPr>
                <w:noProof/>
                <w:sz w:val="18"/>
                <w:szCs w:val="18"/>
                <w:lang w:val="en-GB"/>
              </w:rPr>
              <w:t xml:space="preserve"> to 82</w:t>
            </w:r>
            <w:r w:rsidR="007944F8" w:rsidRPr="007944F8">
              <w:rPr>
                <w:noProof/>
                <w:sz w:val="18"/>
                <w:szCs w:val="18"/>
                <w:lang w:val="en-GB"/>
              </w:rPr>
              <w:t>°</w:t>
            </w:r>
            <w:r w:rsidRPr="00805D66">
              <w:rPr>
                <w:noProof/>
                <w:sz w:val="18"/>
                <w:szCs w:val="18"/>
                <w:lang w:val="en-GB"/>
              </w:rPr>
              <w:t>C</w:t>
            </w:r>
          </w:p>
        </w:tc>
      </w:tr>
    </w:tbl>
    <w:p w:rsidR="00163144" w:rsidRDefault="00163144">
      <w:pPr>
        <w:rPr>
          <w:b/>
          <w:noProof/>
          <w:sz w:val="28"/>
          <w:szCs w:val="28"/>
          <w:lang w:val="en-GB"/>
        </w:rPr>
      </w:pPr>
    </w:p>
    <w:p w:rsidR="00163144" w:rsidRPr="005A79CD" w:rsidRDefault="00163144">
      <w:pPr>
        <w:rPr>
          <w:b/>
          <w:noProof/>
          <w:sz w:val="28"/>
          <w:szCs w:val="28"/>
          <w:lang w:val="en-GB"/>
        </w:rPr>
      </w:pPr>
      <w:r w:rsidRPr="005A79CD">
        <w:rPr>
          <w:b/>
          <w:noProof/>
          <w:sz w:val="28"/>
          <w:szCs w:val="28"/>
          <w:lang w:val="en-GB"/>
        </w:rPr>
        <w:t>Packaging</w:t>
      </w:r>
    </w:p>
    <w:p w:rsidR="00163144" w:rsidRPr="00E8610B" w:rsidRDefault="00F059F1">
      <w:pPr>
        <w:rPr>
          <w:noProof/>
          <w:sz w:val="18"/>
          <w:szCs w:val="18"/>
          <w:lang w:val="en-GB"/>
        </w:rPr>
      </w:pPr>
      <w:r>
        <w:rPr>
          <w:noProof/>
          <w:sz w:val="18"/>
          <w:szCs w:val="18"/>
          <w:lang w:val="en-GB"/>
        </w:rPr>
        <w:t>Hldtite CA25</w:t>
      </w:r>
      <w:bookmarkStart w:id="0" w:name="_GoBack"/>
      <w:bookmarkEnd w:id="0"/>
      <w:r w:rsidR="00163144" w:rsidRPr="00E8610B">
        <w:rPr>
          <w:noProof/>
          <w:sz w:val="18"/>
          <w:szCs w:val="18"/>
          <w:lang w:val="en-GB"/>
        </w:rPr>
        <w:t xml:space="preserve"> </w:t>
      </w:r>
      <w:r w:rsidR="00163144">
        <w:rPr>
          <w:noProof/>
          <w:sz w:val="18"/>
          <w:szCs w:val="18"/>
          <w:lang w:val="en-GB"/>
        </w:rPr>
        <w:t>is available in 3g, 20g,  50g and 500g HDPE</w:t>
      </w:r>
      <w:r w:rsidR="00163144" w:rsidRPr="00E8610B">
        <w:rPr>
          <w:noProof/>
          <w:sz w:val="18"/>
          <w:szCs w:val="18"/>
          <w:lang w:val="en-GB"/>
        </w:rPr>
        <w:t xml:space="preserve"> </w:t>
      </w:r>
      <w:r w:rsidR="00163144">
        <w:rPr>
          <w:noProof/>
          <w:sz w:val="18"/>
          <w:szCs w:val="18"/>
          <w:lang w:val="en-GB"/>
        </w:rPr>
        <w:t>bottles.  In addition,  we can offer automated dispensing lines for the bulk dispensing of this material.</w:t>
      </w:r>
    </w:p>
    <w:p w:rsidR="00163144" w:rsidRPr="005A79CD" w:rsidRDefault="00163144">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163144" w:rsidRPr="00E8610B" w:rsidRDefault="00F059F1">
      <w:pPr>
        <w:rPr>
          <w:noProof/>
          <w:sz w:val="18"/>
          <w:szCs w:val="18"/>
          <w:lang w:val="en-GB"/>
        </w:rPr>
      </w:pPr>
      <w:r>
        <w:rPr>
          <w:noProof/>
          <w:sz w:val="18"/>
          <w:szCs w:val="18"/>
          <w:lang w:val="en-GB"/>
        </w:rPr>
        <w:t>Holdtite CA25</w:t>
      </w:r>
      <w:r w:rsidR="00163144" w:rsidRPr="00E8610B">
        <w:rPr>
          <w:noProof/>
          <w:sz w:val="18"/>
          <w:szCs w:val="18"/>
          <w:lang w:val="en-GB"/>
        </w:rPr>
        <w:t xml:space="preserve"> sho</w:t>
      </w:r>
      <w:r w:rsidR="00163144">
        <w:rPr>
          <w:noProof/>
          <w:sz w:val="18"/>
          <w:szCs w:val="18"/>
          <w:lang w:val="en-GB"/>
        </w:rPr>
        <w:t>uld be stored unopened in a cool dry location</w:t>
      </w:r>
      <w:r w:rsidR="00163144" w:rsidRPr="00E8610B">
        <w:rPr>
          <w:noProof/>
          <w:sz w:val="18"/>
          <w:szCs w:val="18"/>
          <w:lang w:val="en-GB"/>
        </w:rPr>
        <w:t>, out of direct sunlight.</w:t>
      </w:r>
      <w:r w:rsidR="00163144">
        <w:rPr>
          <w:noProof/>
          <w:sz w:val="18"/>
          <w:szCs w:val="18"/>
          <w:lang w:val="en-GB"/>
        </w:rPr>
        <w:t xml:space="preserve">  Stored correctly , this grade can offer a 12 month shelf life from manufacture.</w:t>
      </w:r>
    </w:p>
    <w:p w:rsidR="00163144" w:rsidRPr="005A79CD" w:rsidRDefault="00163144">
      <w:pPr>
        <w:rPr>
          <w:b/>
          <w:noProof/>
          <w:sz w:val="28"/>
          <w:szCs w:val="28"/>
          <w:lang w:val="en-GB"/>
        </w:rPr>
      </w:pPr>
      <w:r w:rsidRPr="005A79CD">
        <w:rPr>
          <w:b/>
          <w:noProof/>
          <w:sz w:val="28"/>
          <w:szCs w:val="28"/>
          <w:lang w:val="en-GB"/>
        </w:rPr>
        <w:t>Health and Safety in Use</w:t>
      </w:r>
    </w:p>
    <w:p w:rsidR="00163144" w:rsidRPr="00E8610B" w:rsidRDefault="00F059F1" w:rsidP="00902225">
      <w:pPr>
        <w:rPr>
          <w:sz w:val="18"/>
          <w:szCs w:val="18"/>
          <w:lang w:val="en-GB"/>
        </w:rPr>
      </w:pPr>
      <w:r>
        <w:rPr>
          <w:b/>
          <w:noProof/>
          <w:sz w:val="18"/>
          <w:szCs w:val="18"/>
          <w:lang w:val="en-GB"/>
        </w:rPr>
        <w:t>Holdtite CA25</w:t>
      </w:r>
      <w:r w:rsidR="00163144">
        <w:rPr>
          <w:b/>
          <w:noProof/>
          <w:sz w:val="18"/>
          <w:szCs w:val="18"/>
          <w:lang w:val="en-GB"/>
        </w:rPr>
        <w:t xml:space="preserve"> is an ethyl cyanoacrylate, and can bond skin and eyelids in seconds.  This grade should not be used without consulting the MSDS, which contains full information regarding the use of this product,  including Transport, Disposal, Toxicological, Exposure Controls, Accidental Release and First Aid measures essential to the safe use of this product.</w:t>
      </w:r>
    </w:p>
    <w:p w:rsidR="00163144" w:rsidRPr="00E8610B" w:rsidRDefault="00163144">
      <w:pPr>
        <w:rPr>
          <w:sz w:val="18"/>
          <w:szCs w:val="18"/>
          <w:lang w:val="en-GB"/>
        </w:rPr>
      </w:pPr>
    </w:p>
    <w:sectPr w:rsidR="00163144" w:rsidRPr="00E8610B" w:rsidSect="007960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88" w:rsidRDefault="001A6B88" w:rsidP="009D0CCB">
      <w:pPr>
        <w:spacing w:after="0" w:line="240" w:lineRule="auto"/>
      </w:pPr>
      <w:r>
        <w:separator/>
      </w:r>
    </w:p>
  </w:endnote>
  <w:endnote w:type="continuationSeparator" w:id="0">
    <w:p w:rsidR="001A6B88" w:rsidRDefault="001A6B88"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44" w:rsidRDefault="001631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44" w:rsidRDefault="00163144" w:rsidP="005C69B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163144" w:rsidRPr="005C69B1" w:rsidRDefault="00163144" w:rsidP="005C69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44" w:rsidRDefault="001631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88" w:rsidRDefault="001A6B88" w:rsidP="009D0CCB">
      <w:pPr>
        <w:spacing w:after="0" w:line="240" w:lineRule="auto"/>
      </w:pPr>
      <w:r>
        <w:separator/>
      </w:r>
    </w:p>
  </w:footnote>
  <w:footnote w:type="continuationSeparator" w:id="0">
    <w:p w:rsidR="001A6B88" w:rsidRDefault="001A6B88"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44" w:rsidRDefault="001631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44" w:rsidRDefault="007944F8" w:rsidP="009D0CCB">
    <w:pPr>
      <w:pStyle w:val="a3"/>
      <w:jc w:val="right"/>
    </w:pPr>
    <w:r>
      <w:rPr>
        <w:noProof/>
        <w:lang w:bidi="he-IL"/>
      </w:rPr>
      <w:drawing>
        <wp:inline distT="0" distB="0" distL="0" distR="0">
          <wp:extent cx="3437890" cy="1125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7890" cy="11258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44" w:rsidRDefault="001631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8A3F8C"/>
    <w:multiLevelType w:val="hybridMultilevel"/>
    <w:tmpl w:val="80469E68"/>
    <w:lvl w:ilvl="0" w:tplc="83BA0EEE">
      <w:start w:val="1"/>
      <w:numFmt w:val="bullet"/>
      <w:lvlText w:val=""/>
      <w:lvlJc w:val="left"/>
      <w:pPr>
        <w:ind w:left="748" w:hanging="360"/>
      </w:pPr>
      <w:rPr>
        <w:rFonts w:ascii="Symbol" w:hAnsi="Symbol" w:hint="default"/>
        <w:sz w:val="20"/>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43BB2"/>
    <w:rsid w:val="000C1C33"/>
    <w:rsid w:val="000D6F9D"/>
    <w:rsid w:val="000F1047"/>
    <w:rsid w:val="00130E13"/>
    <w:rsid w:val="00151153"/>
    <w:rsid w:val="00163144"/>
    <w:rsid w:val="00172BB0"/>
    <w:rsid w:val="001A6B88"/>
    <w:rsid w:val="001D00C5"/>
    <w:rsid w:val="001D309E"/>
    <w:rsid w:val="002C1D81"/>
    <w:rsid w:val="003235D8"/>
    <w:rsid w:val="003700E5"/>
    <w:rsid w:val="003710A1"/>
    <w:rsid w:val="003746BB"/>
    <w:rsid w:val="003A4AE0"/>
    <w:rsid w:val="00445F2B"/>
    <w:rsid w:val="00481594"/>
    <w:rsid w:val="004B725B"/>
    <w:rsid w:val="00541035"/>
    <w:rsid w:val="00542C2C"/>
    <w:rsid w:val="00543CC1"/>
    <w:rsid w:val="0058663C"/>
    <w:rsid w:val="00590048"/>
    <w:rsid w:val="005A7087"/>
    <w:rsid w:val="005A79CD"/>
    <w:rsid w:val="005C69B1"/>
    <w:rsid w:val="006529B0"/>
    <w:rsid w:val="006775C2"/>
    <w:rsid w:val="006C2E46"/>
    <w:rsid w:val="00707926"/>
    <w:rsid w:val="00734657"/>
    <w:rsid w:val="00776E1B"/>
    <w:rsid w:val="007944F8"/>
    <w:rsid w:val="00794A56"/>
    <w:rsid w:val="007960EB"/>
    <w:rsid w:val="007C5B78"/>
    <w:rsid w:val="007D0A39"/>
    <w:rsid w:val="007D5367"/>
    <w:rsid w:val="00805D66"/>
    <w:rsid w:val="008734B3"/>
    <w:rsid w:val="008E72CC"/>
    <w:rsid w:val="00900FB9"/>
    <w:rsid w:val="00902225"/>
    <w:rsid w:val="00910243"/>
    <w:rsid w:val="00962EBC"/>
    <w:rsid w:val="009C7A51"/>
    <w:rsid w:val="009D0CCB"/>
    <w:rsid w:val="00A17DA9"/>
    <w:rsid w:val="00A55149"/>
    <w:rsid w:val="00A932A9"/>
    <w:rsid w:val="00B25D4E"/>
    <w:rsid w:val="00B768C9"/>
    <w:rsid w:val="00BA36E0"/>
    <w:rsid w:val="00C0264C"/>
    <w:rsid w:val="00D23635"/>
    <w:rsid w:val="00D70A8A"/>
    <w:rsid w:val="00E55AAE"/>
    <w:rsid w:val="00E8610B"/>
    <w:rsid w:val="00E96DF9"/>
    <w:rsid w:val="00EE56BD"/>
    <w:rsid w:val="00F059F1"/>
    <w:rsid w:val="00F15D0D"/>
    <w:rsid w:val="00F232F4"/>
    <w:rsid w:val="00F53A9C"/>
    <w:rsid w:val="00F61094"/>
    <w:rsid w:val="00F76CA6"/>
    <w:rsid w:val="00F8130B"/>
    <w:rsid w:val="00FA7232"/>
    <w:rsid w:val="00FB4B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8110CF1-FCF1-492E-BE52-610BE8A2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4251">
      <w:marLeft w:val="0"/>
      <w:marRight w:val="0"/>
      <w:marTop w:val="0"/>
      <w:marBottom w:val="0"/>
      <w:divBdr>
        <w:top w:val="none" w:sz="0" w:space="0" w:color="auto"/>
        <w:left w:val="none" w:sz="0" w:space="0" w:color="auto"/>
        <w:bottom w:val="none" w:sz="0" w:space="0" w:color="auto"/>
        <w:right w:val="none" w:sz="0" w:space="0" w:color="auto"/>
      </w:divBdr>
    </w:div>
    <w:div w:id="740104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1925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Technical Datasheet C95</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C95</dc:title>
  <dc:creator>David Nicholas</dc:creator>
  <cp:lastModifiedBy>Owner</cp:lastModifiedBy>
  <cp:revision>2</cp:revision>
  <cp:lastPrinted>2008-08-01T08:36:00Z</cp:lastPrinted>
  <dcterms:created xsi:type="dcterms:W3CDTF">2017-11-14T08:13:00Z</dcterms:created>
  <dcterms:modified xsi:type="dcterms:W3CDTF">2017-11-14T08:13:00Z</dcterms:modified>
</cp:coreProperties>
</file>