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21" w:rsidRDefault="003F6021" w:rsidP="00541E36">
      <w:pPr>
        <w:rPr>
          <w:b/>
          <w:noProof/>
          <w:sz w:val="32"/>
          <w:szCs w:val="32"/>
          <w:lang w:val="en-GB"/>
        </w:rPr>
      </w:pPr>
      <w:r w:rsidRPr="007D0A39">
        <w:rPr>
          <w:b/>
          <w:noProof/>
          <w:sz w:val="32"/>
          <w:szCs w:val="32"/>
          <w:lang w:val="en-GB"/>
        </w:rPr>
        <w:t>Technical Datasheet</w:t>
      </w:r>
    </w:p>
    <w:p w:rsidR="00541E36" w:rsidRPr="007D0A39" w:rsidRDefault="00541E36" w:rsidP="00D710BC">
      <w:pPr>
        <w:rPr>
          <w:b/>
          <w:noProof/>
          <w:sz w:val="32"/>
          <w:szCs w:val="32"/>
          <w:lang w:val="en-GB"/>
        </w:rPr>
      </w:pPr>
      <w:r>
        <w:rPr>
          <w:b/>
          <w:noProof/>
          <w:sz w:val="32"/>
          <w:szCs w:val="32"/>
          <w:lang w:val="en-GB"/>
        </w:rPr>
        <w:t>H</w:t>
      </w:r>
      <w:r w:rsidR="00D710BC">
        <w:rPr>
          <w:b/>
          <w:noProof/>
          <w:sz w:val="32"/>
          <w:szCs w:val="32"/>
          <w:lang w:val="en-GB"/>
        </w:rPr>
        <w:t>oldtite</w:t>
      </w:r>
      <w:bookmarkStart w:id="0" w:name="_GoBack"/>
      <w:bookmarkEnd w:id="0"/>
      <w:r>
        <w:rPr>
          <w:b/>
          <w:noProof/>
          <w:sz w:val="32"/>
          <w:szCs w:val="32"/>
          <w:lang w:val="en-GB"/>
        </w:rPr>
        <w:t xml:space="preserve"> T22</w:t>
      </w:r>
    </w:p>
    <w:p w:rsidR="003F6021" w:rsidRDefault="003F6021">
      <w:pPr>
        <w:rPr>
          <w:b/>
          <w:noProof/>
          <w:sz w:val="28"/>
          <w:szCs w:val="28"/>
          <w:lang w:val="en-GB"/>
        </w:rPr>
      </w:pPr>
      <w:r w:rsidRPr="007D0A39">
        <w:rPr>
          <w:b/>
          <w:noProof/>
          <w:sz w:val="28"/>
          <w:szCs w:val="28"/>
          <w:lang w:val="en-GB"/>
        </w:rPr>
        <w:t>Product Description</w:t>
      </w:r>
    </w:p>
    <w:p w:rsidR="003F6021" w:rsidRPr="00E8610B" w:rsidRDefault="00541E36" w:rsidP="00541E36">
      <w:pPr>
        <w:rPr>
          <w:noProof/>
          <w:sz w:val="18"/>
          <w:szCs w:val="18"/>
          <w:lang w:val="en-GB"/>
        </w:rPr>
      </w:pPr>
      <w:r>
        <w:rPr>
          <w:noProof/>
          <w:sz w:val="18"/>
          <w:szCs w:val="18"/>
          <w:lang w:val="en-GB"/>
        </w:rPr>
        <w:t>Holdtite T22</w:t>
      </w:r>
      <w:r w:rsidR="003F6021">
        <w:rPr>
          <w:noProof/>
          <w:sz w:val="18"/>
          <w:szCs w:val="18"/>
          <w:lang w:val="en-GB"/>
        </w:rPr>
        <w:t xml:space="preserve"> is a low strength anaerobic threadlocker, designed to allow easy disassembly of metal threaded components.  </w:t>
      </w:r>
      <w:r>
        <w:rPr>
          <w:noProof/>
          <w:sz w:val="18"/>
          <w:szCs w:val="18"/>
          <w:lang w:val="en-GB"/>
        </w:rPr>
        <w:t>T22</w:t>
      </w:r>
      <w:r w:rsidR="003F6021">
        <w:rPr>
          <w:noProof/>
          <w:sz w:val="18"/>
          <w:szCs w:val="18"/>
          <w:lang w:val="en-GB"/>
        </w:rPr>
        <w:t xml:space="preserve"> is thixotropic, which reduces the migration of the liquid adhesive following application.  Once applied, the </w:t>
      </w:r>
      <w:r>
        <w:rPr>
          <w:noProof/>
          <w:sz w:val="18"/>
          <w:szCs w:val="18"/>
          <w:lang w:val="en-GB"/>
        </w:rPr>
        <w:t>T22</w:t>
      </w:r>
      <w:r w:rsidR="003F6021">
        <w:rPr>
          <w:noProof/>
          <w:sz w:val="18"/>
          <w:szCs w:val="18"/>
          <w:lang w:val="en-GB"/>
        </w:rPr>
        <w:t xml:space="preserve"> only cures when confined between the two mating metal parts.  Despite the controlled low torque disassembly that the </w:t>
      </w:r>
      <w:r>
        <w:rPr>
          <w:noProof/>
          <w:sz w:val="18"/>
          <w:szCs w:val="18"/>
          <w:lang w:val="en-GB"/>
        </w:rPr>
        <w:t>T22</w:t>
      </w:r>
      <w:r w:rsidR="003F6021">
        <w:rPr>
          <w:noProof/>
          <w:sz w:val="18"/>
          <w:szCs w:val="18"/>
          <w:lang w:val="en-GB"/>
        </w:rPr>
        <w:t xml:space="preserve"> provides, the AT02 still maintains excellent vibration and shock resistance.</w:t>
      </w:r>
    </w:p>
    <w:p w:rsidR="003F6021" w:rsidRDefault="003F6021">
      <w:pPr>
        <w:rPr>
          <w:b/>
          <w:noProof/>
          <w:sz w:val="28"/>
          <w:szCs w:val="28"/>
          <w:lang w:val="en-GB"/>
        </w:rPr>
      </w:pPr>
      <w:r w:rsidRPr="005A79CD">
        <w:rPr>
          <w:b/>
          <w:noProof/>
          <w:sz w:val="28"/>
          <w:szCs w:val="28"/>
          <w:lang w:val="en-GB"/>
        </w:rPr>
        <w:t>Typical Applications</w:t>
      </w:r>
    </w:p>
    <w:p w:rsidR="003F6021" w:rsidRPr="00E8610B" w:rsidRDefault="003F6021" w:rsidP="00541E36">
      <w:pPr>
        <w:rPr>
          <w:noProof/>
          <w:sz w:val="18"/>
          <w:szCs w:val="18"/>
          <w:lang w:val="en-GB"/>
        </w:rPr>
      </w:pPr>
      <w:r>
        <w:rPr>
          <w:noProof/>
          <w:sz w:val="18"/>
          <w:szCs w:val="18"/>
          <w:lang w:val="en-GB"/>
        </w:rPr>
        <w:t xml:space="preserve">Bondchem </w:t>
      </w:r>
      <w:r w:rsidR="00541E36">
        <w:rPr>
          <w:noProof/>
          <w:sz w:val="18"/>
          <w:szCs w:val="18"/>
          <w:lang w:val="en-GB"/>
        </w:rPr>
        <w:t>T22</w:t>
      </w:r>
      <w:r>
        <w:rPr>
          <w:noProof/>
          <w:sz w:val="18"/>
          <w:szCs w:val="18"/>
          <w:lang w:val="en-GB"/>
        </w:rPr>
        <w:t xml:space="preserve"> is well suited to metal fastener applications, where prevention of vibrational loosening is required.  </w:t>
      </w:r>
      <w:r w:rsidR="00541E36">
        <w:rPr>
          <w:noProof/>
          <w:sz w:val="18"/>
          <w:szCs w:val="18"/>
          <w:lang w:val="en-GB"/>
        </w:rPr>
        <w:t>T22</w:t>
      </w:r>
      <w:r>
        <w:rPr>
          <w:noProof/>
          <w:sz w:val="18"/>
          <w:szCs w:val="18"/>
          <w:lang w:val="en-GB"/>
        </w:rPr>
        <w:t xml:space="preserve"> is ideal on set screws, threaded nuts, bolts, screws, hex and slot driven components, including keyed fasteners.</w:t>
      </w:r>
    </w:p>
    <w:p w:rsidR="003F6021" w:rsidRPr="005A79CD" w:rsidRDefault="003F6021">
      <w:pPr>
        <w:rPr>
          <w:b/>
          <w:noProof/>
          <w:sz w:val="28"/>
          <w:szCs w:val="28"/>
          <w:lang w:val="en-GB"/>
        </w:rPr>
      </w:pPr>
      <w:r w:rsidRPr="005A79CD">
        <w:rPr>
          <w:b/>
          <w:noProof/>
          <w:sz w:val="28"/>
          <w:szCs w:val="28"/>
          <w:lang w:val="en-GB"/>
        </w:rPr>
        <w:t>Instructions For Use</w:t>
      </w:r>
    </w:p>
    <w:p w:rsidR="003F6021" w:rsidRDefault="003F6021" w:rsidP="00151153">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 cleaning solvent and allow to dry.</w:t>
      </w:r>
    </w:p>
    <w:p w:rsidR="003F6021" w:rsidRDefault="003F6021" w:rsidP="00151153">
      <w:pPr>
        <w:pStyle w:val="aa"/>
        <w:numPr>
          <w:ilvl w:val="0"/>
          <w:numId w:val="3"/>
        </w:numPr>
        <w:rPr>
          <w:noProof/>
          <w:sz w:val="18"/>
          <w:szCs w:val="18"/>
          <w:lang w:val="en-GB"/>
        </w:rPr>
      </w:pPr>
      <w:r>
        <w:rPr>
          <w:noProof/>
          <w:sz w:val="18"/>
          <w:szCs w:val="18"/>
          <w:lang w:val="en-GB"/>
        </w:rPr>
        <w:t>If the metal is inactive (see Compatibility Chart) apply suitable Bondchem primer.</w:t>
      </w:r>
    </w:p>
    <w:p w:rsidR="003F6021" w:rsidRDefault="003F6021" w:rsidP="00151153">
      <w:pPr>
        <w:pStyle w:val="aa"/>
        <w:numPr>
          <w:ilvl w:val="0"/>
          <w:numId w:val="3"/>
        </w:numPr>
        <w:rPr>
          <w:noProof/>
          <w:sz w:val="18"/>
          <w:szCs w:val="18"/>
          <w:lang w:val="en-GB"/>
        </w:rPr>
      </w:pPr>
      <w:r>
        <w:rPr>
          <w:noProof/>
          <w:sz w:val="18"/>
          <w:szCs w:val="18"/>
          <w:lang w:val="en-GB"/>
        </w:rPr>
        <w:t>Shake the product thoroughly before application</w:t>
      </w:r>
    </w:p>
    <w:p w:rsidR="003F6021" w:rsidRDefault="003F6021" w:rsidP="00151153">
      <w:pPr>
        <w:pStyle w:val="aa"/>
        <w:numPr>
          <w:ilvl w:val="0"/>
          <w:numId w:val="3"/>
        </w:numPr>
        <w:rPr>
          <w:noProof/>
          <w:sz w:val="18"/>
          <w:szCs w:val="18"/>
          <w:lang w:val="en-GB"/>
        </w:rPr>
      </w:pPr>
      <w:r>
        <w:rPr>
          <w:noProof/>
          <w:sz w:val="18"/>
          <w:szCs w:val="18"/>
          <w:lang w:val="en-GB"/>
        </w:rPr>
        <w:t>Apply the adhesive to the fixing position of the fastener or onto the internal threads of a blind hole.</w:t>
      </w:r>
    </w:p>
    <w:p w:rsidR="003F6021" w:rsidRDefault="003F6021" w:rsidP="00151153">
      <w:pPr>
        <w:pStyle w:val="aa"/>
        <w:numPr>
          <w:ilvl w:val="0"/>
          <w:numId w:val="3"/>
        </w:numPr>
        <w:rPr>
          <w:noProof/>
          <w:sz w:val="18"/>
          <w:szCs w:val="18"/>
          <w:lang w:val="en-GB"/>
        </w:rPr>
      </w:pPr>
      <w:r>
        <w:rPr>
          <w:noProof/>
          <w:sz w:val="18"/>
          <w:szCs w:val="18"/>
          <w:lang w:val="en-GB"/>
        </w:rPr>
        <w:t>Use suitable methods to assemble components, and tighten to required torque level.</w:t>
      </w:r>
    </w:p>
    <w:p w:rsidR="003F6021" w:rsidRPr="009C7A51" w:rsidRDefault="003F6021" w:rsidP="00445F2B">
      <w:pPr>
        <w:pStyle w:val="aa"/>
        <w:numPr>
          <w:ilvl w:val="0"/>
          <w:numId w:val="3"/>
        </w:numPr>
        <w:rPr>
          <w:noProof/>
          <w:sz w:val="18"/>
          <w:szCs w:val="18"/>
          <w:lang w:val="en-GB"/>
        </w:rPr>
      </w:pPr>
      <w:r>
        <w:rPr>
          <w:noProof/>
          <w:sz w:val="18"/>
          <w:szCs w:val="18"/>
          <w:lang w:val="en-GB"/>
        </w:rPr>
        <w:t>Allow to fully cure before applying load</w:t>
      </w:r>
    </w:p>
    <w:p w:rsidR="003F6021" w:rsidRPr="00445F2B" w:rsidRDefault="003F6021" w:rsidP="00445F2B">
      <w:pPr>
        <w:rPr>
          <w:b/>
          <w:noProof/>
          <w:sz w:val="28"/>
          <w:szCs w:val="28"/>
          <w:lang w:val="en-GB"/>
        </w:rPr>
      </w:pPr>
      <w:r w:rsidRPr="00445F2B">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271"/>
      </w:tblGrid>
      <w:tr w:rsidR="003F6021" w:rsidRPr="00485386" w:rsidTr="00485386">
        <w:trPr>
          <w:jc w:val="center"/>
        </w:trPr>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Resin</w:t>
            </w:r>
          </w:p>
        </w:tc>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Dimethacrylate</w:t>
            </w:r>
          </w:p>
        </w:tc>
      </w:tr>
      <w:tr w:rsidR="003F6021" w:rsidRPr="00485386" w:rsidTr="00485386">
        <w:trPr>
          <w:jc w:val="center"/>
        </w:trPr>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Colour</w:t>
            </w:r>
          </w:p>
        </w:tc>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Purple</w:t>
            </w:r>
          </w:p>
        </w:tc>
      </w:tr>
      <w:tr w:rsidR="003F6021" w:rsidRPr="00485386" w:rsidTr="00485386">
        <w:trPr>
          <w:jc w:val="center"/>
        </w:trPr>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Viscosity @ 25</w:t>
            </w:r>
            <w:r w:rsidRPr="00485386">
              <w:rPr>
                <w:noProof/>
                <w:sz w:val="18"/>
                <w:szCs w:val="18"/>
                <w:vertAlign w:val="superscript"/>
                <w:lang w:val="en-GB"/>
              </w:rPr>
              <w:t>0</w:t>
            </w:r>
            <w:r w:rsidRPr="00485386">
              <w:rPr>
                <w:noProof/>
                <w:sz w:val="18"/>
                <w:szCs w:val="18"/>
                <w:lang w:val="en-GB"/>
              </w:rPr>
              <w:t>C</w:t>
            </w:r>
          </w:p>
        </w:tc>
        <w:tc>
          <w:tcPr>
            <w:tcW w:w="2271" w:type="dxa"/>
          </w:tcPr>
          <w:p w:rsidR="003F6021" w:rsidRPr="00485386" w:rsidRDefault="003F6021" w:rsidP="00485386">
            <w:pPr>
              <w:spacing w:after="0" w:line="240" w:lineRule="auto"/>
              <w:rPr>
                <w:noProof/>
                <w:sz w:val="18"/>
                <w:szCs w:val="18"/>
                <w:lang w:val="en-GB"/>
              </w:rPr>
            </w:pPr>
          </w:p>
        </w:tc>
      </w:tr>
      <w:tr w:rsidR="003F6021" w:rsidRPr="00485386" w:rsidTr="00485386">
        <w:trPr>
          <w:jc w:val="center"/>
        </w:trPr>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Brookfield Sp 3 @ 20rpm</w:t>
            </w:r>
          </w:p>
        </w:tc>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1</w:t>
            </w:r>
            <w:r>
              <w:rPr>
                <w:noProof/>
                <w:sz w:val="18"/>
                <w:szCs w:val="18"/>
                <w:lang w:val="en-GB"/>
              </w:rPr>
              <w:t>,</w:t>
            </w:r>
            <w:r w:rsidRPr="00485386">
              <w:rPr>
                <w:noProof/>
                <w:sz w:val="18"/>
                <w:szCs w:val="18"/>
                <w:lang w:val="en-GB"/>
              </w:rPr>
              <w:t>200 to 5</w:t>
            </w:r>
            <w:r>
              <w:rPr>
                <w:noProof/>
                <w:sz w:val="18"/>
                <w:szCs w:val="18"/>
                <w:lang w:val="en-GB"/>
              </w:rPr>
              <w:t>,</w:t>
            </w:r>
            <w:r w:rsidRPr="00485386">
              <w:rPr>
                <w:noProof/>
                <w:sz w:val="18"/>
                <w:szCs w:val="18"/>
                <w:lang w:val="en-GB"/>
              </w:rPr>
              <w:t>000cps</w:t>
            </w:r>
          </w:p>
        </w:tc>
      </w:tr>
      <w:tr w:rsidR="003F6021" w:rsidRPr="00485386" w:rsidTr="00485386">
        <w:trPr>
          <w:jc w:val="center"/>
        </w:trPr>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Viscosity 2</w:t>
            </w:r>
          </w:p>
        </w:tc>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Thixotropic</w:t>
            </w:r>
          </w:p>
        </w:tc>
      </w:tr>
      <w:tr w:rsidR="003F6021" w:rsidRPr="00485386" w:rsidTr="00485386">
        <w:trPr>
          <w:jc w:val="center"/>
        </w:trPr>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Cure System</w:t>
            </w:r>
          </w:p>
        </w:tc>
        <w:tc>
          <w:tcPr>
            <w:tcW w:w="2271" w:type="dxa"/>
          </w:tcPr>
          <w:p w:rsidR="003F6021" w:rsidRPr="00485386" w:rsidRDefault="003F6021" w:rsidP="00485386">
            <w:pPr>
              <w:spacing w:after="0" w:line="240" w:lineRule="auto"/>
              <w:rPr>
                <w:noProof/>
                <w:sz w:val="18"/>
                <w:szCs w:val="18"/>
                <w:lang w:val="en-GB"/>
              </w:rPr>
            </w:pPr>
            <w:r w:rsidRPr="00485386">
              <w:rPr>
                <w:noProof/>
                <w:sz w:val="18"/>
                <w:szCs w:val="18"/>
                <w:lang w:val="en-GB"/>
              </w:rPr>
              <w:t>Anaerobic</w:t>
            </w:r>
          </w:p>
        </w:tc>
      </w:tr>
    </w:tbl>
    <w:p w:rsidR="003F6021" w:rsidRDefault="003F6021">
      <w:pPr>
        <w:rPr>
          <w:noProof/>
          <w:sz w:val="20"/>
          <w:szCs w:val="20"/>
          <w:lang w:val="en-GB"/>
        </w:rPr>
      </w:pPr>
    </w:p>
    <w:p w:rsidR="003F6021" w:rsidRDefault="003F6021">
      <w:pPr>
        <w:rPr>
          <w:noProof/>
          <w:sz w:val="20"/>
          <w:szCs w:val="20"/>
          <w:lang w:val="en-GB"/>
        </w:rPr>
      </w:pPr>
    </w:p>
    <w:p w:rsidR="003F6021" w:rsidRDefault="003F6021">
      <w:pPr>
        <w:rPr>
          <w:b/>
          <w:noProof/>
          <w:sz w:val="28"/>
          <w:szCs w:val="28"/>
          <w:lang w:val="en-GB"/>
        </w:rPr>
      </w:pPr>
    </w:p>
    <w:p w:rsidR="003F6021" w:rsidRDefault="003F6021">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5"/>
        <w:gridCol w:w="2285"/>
      </w:tblGrid>
      <w:tr w:rsidR="003F6021" w:rsidRPr="00485386" w:rsidTr="00485386">
        <w:trPr>
          <w:trHeight w:val="248"/>
          <w:jc w:val="center"/>
        </w:trPr>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 xml:space="preserve">Fixture Speed </w:t>
            </w:r>
          </w:p>
        </w:tc>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20 Minutes @ 25</w:t>
            </w:r>
            <w:r w:rsidRPr="00485386">
              <w:rPr>
                <w:noProof/>
                <w:sz w:val="18"/>
                <w:szCs w:val="18"/>
                <w:vertAlign w:val="superscript"/>
                <w:lang w:val="en-GB"/>
              </w:rPr>
              <w:t>0</w:t>
            </w:r>
            <w:r w:rsidRPr="00485386">
              <w:rPr>
                <w:noProof/>
                <w:sz w:val="18"/>
                <w:szCs w:val="18"/>
                <w:lang w:val="en-GB"/>
              </w:rPr>
              <w:t>C</w:t>
            </w:r>
          </w:p>
        </w:tc>
      </w:tr>
      <w:tr w:rsidR="003F6021" w:rsidRPr="00485386" w:rsidTr="00485386">
        <w:trPr>
          <w:trHeight w:val="248"/>
          <w:jc w:val="center"/>
        </w:trPr>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Fixture Speed with Primer</w:t>
            </w:r>
          </w:p>
        </w:tc>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&lt;5 Seconds</w:t>
            </w:r>
          </w:p>
        </w:tc>
      </w:tr>
      <w:tr w:rsidR="003F6021" w:rsidRPr="00485386" w:rsidTr="00485386">
        <w:trPr>
          <w:trHeight w:val="248"/>
          <w:jc w:val="center"/>
        </w:trPr>
        <w:tc>
          <w:tcPr>
            <w:tcW w:w="2285" w:type="dxa"/>
          </w:tcPr>
          <w:p w:rsidR="003F6021" w:rsidRPr="00485386" w:rsidRDefault="003F6021" w:rsidP="00485386">
            <w:pPr>
              <w:spacing w:after="0" w:line="240" w:lineRule="auto"/>
              <w:rPr>
                <w:b/>
                <w:noProof/>
                <w:sz w:val="18"/>
                <w:szCs w:val="18"/>
                <w:lang w:val="en-GB"/>
              </w:rPr>
            </w:pPr>
            <w:r w:rsidRPr="00485386">
              <w:rPr>
                <w:noProof/>
                <w:sz w:val="18"/>
                <w:szCs w:val="18"/>
                <w:lang w:val="en-GB"/>
              </w:rPr>
              <w:t>Full Cure Time</w:t>
            </w:r>
          </w:p>
        </w:tc>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24 hours @ 20</w:t>
            </w:r>
            <w:r w:rsidRPr="00485386">
              <w:rPr>
                <w:noProof/>
                <w:sz w:val="18"/>
                <w:szCs w:val="18"/>
                <w:vertAlign w:val="superscript"/>
                <w:lang w:val="en-GB"/>
              </w:rPr>
              <w:t>0</w:t>
            </w:r>
            <w:r w:rsidRPr="00485386">
              <w:rPr>
                <w:noProof/>
                <w:sz w:val="18"/>
                <w:szCs w:val="18"/>
                <w:lang w:val="en-GB"/>
              </w:rPr>
              <w:t>C</w:t>
            </w:r>
          </w:p>
        </w:tc>
      </w:tr>
      <w:tr w:rsidR="003F6021" w:rsidRPr="00485386" w:rsidTr="00485386">
        <w:trPr>
          <w:trHeight w:val="248"/>
          <w:jc w:val="center"/>
        </w:trPr>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Typical Breakaway Strength</w:t>
            </w:r>
          </w:p>
        </w:tc>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5.5 to 11.5 Nm</w:t>
            </w:r>
          </w:p>
        </w:tc>
      </w:tr>
      <w:tr w:rsidR="003F6021" w:rsidRPr="00485386" w:rsidTr="00485386">
        <w:trPr>
          <w:trHeight w:val="263"/>
          <w:jc w:val="center"/>
        </w:trPr>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Typical Prevailing Strength</w:t>
            </w:r>
          </w:p>
        </w:tc>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2 to 5.5 Nm</w:t>
            </w:r>
          </w:p>
        </w:tc>
      </w:tr>
      <w:tr w:rsidR="003F6021" w:rsidRPr="00485386" w:rsidTr="00485386">
        <w:trPr>
          <w:trHeight w:val="248"/>
          <w:jc w:val="center"/>
        </w:trPr>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Gap Fill</w:t>
            </w:r>
          </w:p>
        </w:tc>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0.018mm</w:t>
            </w:r>
          </w:p>
        </w:tc>
      </w:tr>
      <w:tr w:rsidR="003F6021" w:rsidRPr="00485386" w:rsidTr="00485386">
        <w:trPr>
          <w:trHeight w:val="263"/>
          <w:jc w:val="center"/>
        </w:trPr>
        <w:tc>
          <w:tcPr>
            <w:tcW w:w="2285" w:type="dxa"/>
          </w:tcPr>
          <w:p w:rsidR="003F6021" w:rsidRPr="00485386" w:rsidRDefault="003F6021" w:rsidP="00485386">
            <w:pPr>
              <w:spacing w:after="0" w:line="240" w:lineRule="auto"/>
              <w:rPr>
                <w:noProof/>
                <w:sz w:val="18"/>
                <w:szCs w:val="18"/>
                <w:lang w:val="en-GB"/>
              </w:rPr>
            </w:pPr>
            <w:smartTag w:uri="urn:schemas-microsoft-com:office:smarttags" w:element="place">
              <w:smartTag w:uri="urn:schemas-microsoft-com:office:smarttags" w:element="PlaceName">
                <w:r w:rsidRPr="00485386">
                  <w:rPr>
                    <w:noProof/>
                    <w:sz w:val="18"/>
                    <w:szCs w:val="18"/>
                    <w:lang w:val="en-GB"/>
                  </w:rPr>
                  <w:t>Temperature</w:t>
                </w:r>
              </w:smartTag>
              <w:r w:rsidRPr="00485386">
                <w:rPr>
                  <w:noProof/>
                  <w:sz w:val="18"/>
                  <w:szCs w:val="18"/>
                  <w:lang w:val="en-GB"/>
                </w:rPr>
                <w:t xml:space="preserve"> </w:t>
              </w:r>
              <w:smartTag w:uri="urn:schemas-microsoft-com:office:smarttags" w:element="PlaceType">
                <w:r w:rsidRPr="00485386">
                  <w:rPr>
                    <w:noProof/>
                    <w:sz w:val="18"/>
                    <w:szCs w:val="18"/>
                    <w:lang w:val="en-GB"/>
                  </w:rPr>
                  <w:t>Range</w:t>
                </w:r>
              </w:smartTag>
            </w:smartTag>
          </w:p>
        </w:tc>
        <w:tc>
          <w:tcPr>
            <w:tcW w:w="2285" w:type="dxa"/>
          </w:tcPr>
          <w:p w:rsidR="003F6021" w:rsidRPr="00485386" w:rsidRDefault="003F6021" w:rsidP="00485386">
            <w:pPr>
              <w:spacing w:after="0" w:line="240" w:lineRule="auto"/>
              <w:rPr>
                <w:noProof/>
                <w:sz w:val="18"/>
                <w:szCs w:val="18"/>
                <w:lang w:val="en-GB"/>
              </w:rPr>
            </w:pPr>
            <w:r w:rsidRPr="00485386">
              <w:rPr>
                <w:noProof/>
                <w:sz w:val="18"/>
                <w:szCs w:val="18"/>
                <w:lang w:val="en-GB"/>
              </w:rPr>
              <w:t>-53</w:t>
            </w:r>
            <w:r w:rsidRPr="00485386">
              <w:rPr>
                <w:noProof/>
                <w:sz w:val="18"/>
                <w:szCs w:val="18"/>
                <w:vertAlign w:val="superscript"/>
                <w:lang w:val="en-GB"/>
              </w:rPr>
              <w:t>0</w:t>
            </w:r>
            <w:r w:rsidRPr="00485386">
              <w:rPr>
                <w:noProof/>
                <w:sz w:val="18"/>
                <w:szCs w:val="18"/>
                <w:lang w:val="en-GB"/>
              </w:rPr>
              <w:t>C to 148</w:t>
            </w:r>
            <w:r w:rsidRPr="00485386">
              <w:rPr>
                <w:noProof/>
                <w:sz w:val="18"/>
                <w:szCs w:val="18"/>
                <w:vertAlign w:val="superscript"/>
                <w:lang w:val="en-GB"/>
              </w:rPr>
              <w:t>0</w:t>
            </w:r>
            <w:r w:rsidRPr="00485386">
              <w:rPr>
                <w:noProof/>
                <w:sz w:val="18"/>
                <w:szCs w:val="18"/>
                <w:lang w:val="en-GB"/>
              </w:rPr>
              <w:t>C</w:t>
            </w:r>
          </w:p>
        </w:tc>
      </w:tr>
    </w:tbl>
    <w:p w:rsidR="003F6021" w:rsidRDefault="003F6021">
      <w:pPr>
        <w:rPr>
          <w:b/>
          <w:noProof/>
          <w:sz w:val="28"/>
          <w:szCs w:val="28"/>
          <w:lang w:val="en-GB"/>
        </w:rPr>
      </w:pPr>
    </w:p>
    <w:p w:rsidR="003F6021" w:rsidRPr="005A79CD" w:rsidRDefault="003F6021">
      <w:pPr>
        <w:rPr>
          <w:b/>
          <w:noProof/>
          <w:sz w:val="28"/>
          <w:szCs w:val="28"/>
          <w:lang w:val="en-GB"/>
        </w:rPr>
      </w:pPr>
      <w:r w:rsidRPr="005A79CD">
        <w:rPr>
          <w:b/>
          <w:noProof/>
          <w:sz w:val="28"/>
          <w:szCs w:val="28"/>
          <w:lang w:val="en-GB"/>
        </w:rPr>
        <w:t>Packaging</w:t>
      </w:r>
    </w:p>
    <w:p w:rsidR="003F6021" w:rsidRPr="00E8610B" w:rsidRDefault="00541E36">
      <w:pPr>
        <w:rPr>
          <w:noProof/>
          <w:sz w:val="18"/>
          <w:szCs w:val="18"/>
          <w:lang w:val="en-GB"/>
        </w:rPr>
      </w:pPr>
      <w:r>
        <w:rPr>
          <w:noProof/>
          <w:sz w:val="18"/>
          <w:szCs w:val="18"/>
          <w:lang w:val="en-GB"/>
        </w:rPr>
        <w:t>Holdtite T22</w:t>
      </w:r>
      <w:r w:rsidR="003F6021" w:rsidRPr="00E8610B">
        <w:rPr>
          <w:noProof/>
          <w:sz w:val="18"/>
          <w:szCs w:val="18"/>
          <w:lang w:val="en-GB"/>
        </w:rPr>
        <w:t xml:space="preserve"> is available in 10ml, 50ml, 250ml</w:t>
      </w:r>
      <w:r w:rsidR="003F6021">
        <w:rPr>
          <w:noProof/>
          <w:sz w:val="18"/>
          <w:szCs w:val="18"/>
          <w:lang w:val="en-GB"/>
        </w:rPr>
        <w:t xml:space="preserve"> LDPE</w:t>
      </w:r>
      <w:r w:rsidR="003F6021" w:rsidRPr="00E8610B">
        <w:rPr>
          <w:noProof/>
          <w:sz w:val="18"/>
          <w:szCs w:val="18"/>
          <w:lang w:val="en-GB"/>
        </w:rPr>
        <w:t xml:space="preserve"> </w:t>
      </w:r>
      <w:r w:rsidR="003F6021">
        <w:rPr>
          <w:noProof/>
          <w:sz w:val="18"/>
          <w:szCs w:val="18"/>
          <w:lang w:val="en-GB"/>
        </w:rPr>
        <w:t>bottles.  In addition,  we can offer automated dispensing lines for the bulk dispensing of this material.</w:t>
      </w:r>
    </w:p>
    <w:p w:rsidR="003F6021" w:rsidRPr="005A79CD" w:rsidRDefault="003F6021">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3F6021" w:rsidRPr="00E8610B" w:rsidRDefault="003F6021">
      <w:pPr>
        <w:rPr>
          <w:noProof/>
          <w:sz w:val="18"/>
          <w:szCs w:val="18"/>
          <w:lang w:val="en-GB"/>
        </w:rPr>
      </w:pPr>
      <w:r>
        <w:rPr>
          <w:noProof/>
          <w:sz w:val="18"/>
          <w:szCs w:val="18"/>
          <w:lang w:val="en-GB"/>
        </w:rPr>
        <w:t>Bondchem AT02</w:t>
      </w:r>
      <w:r w:rsidRPr="00E8610B">
        <w:rPr>
          <w:noProof/>
          <w:sz w:val="18"/>
          <w:szCs w:val="18"/>
          <w:lang w:val="en-GB"/>
        </w:rPr>
        <w:t xml:space="preserve"> sho</w:t>
      </w:r>
      <w:r>
        <w:rPr>
          <w:noProof/>
          <w:sz w:val="18"/>
          <w:szCs w:val="18"/>
          <w:lang w:val="en-GB"/>
        </w:rPr>
        <w:t>uld be stored in a cool dry area</w:t>
      </w:r>
      <w:r w:rsidRPr="00E8610B">
        <w:rPr>
          <w:noProof/>
          <w:sz w:val="18"/>
          <w:szCs w:val="18"/>
          <w:lang w:val="en-GB"/>
        </w:rPr>
        <w:t>, out of direct sunlight.</w:t>
      </w:r>
      <w:r>
        <w:rPr>
          <w:noProof/>
          <w:sz w:val="18"/>
          <w:szCs w:val="18"/>
          <w:lang w:val="en-GB"/>
        </w:rPr>
        <w:t xml:space="preserve">  Stored correctly , this grade can offer a 12 month shelf life from manufacture.</w:t>
      </w:r>
    </w:p>
    <w:p w:rsidR="003F6021" w:rsidRPr="005A79CD" w:rsidRDefault="003F6021">
      <w:pPr>
        <w:rPr>
          <w:b/>
          <w:noProof/>
          <w:sz w:val="28"/>
          <w:szCs w:val="28"/>
          <w:lang w:val="en-GB"/>
        </w:rPr>
      </w:pPr>
      <w:r w:rsidRPr="005A79CD">
        <w:rPr>
          <w:b/>
          <w:noProof/>
          <w:sz w:val="28"/>
          <w:szCs w:val="28"/>
          <w:lang w:val="en-GB"/>
        </w:rPr>
        <w:t>Health and Safety in Use</w:t>
      </w:r>
    </w:p>
    <w:p w:rsidR="003F6021" w:rsidRPr="00E8610B" w:rsidRDefault="003F6021">
      <w:pPr>
        <w:rPr>
          <w:sz w:val="18"/>
          <w:szCs w:val="18"/>
          <w:lang w:val="en-GB"/>
        </w:rPr>
      </w:pPr>
      <w:r w:rsidRPr="007960EB">
        <w:rPr>
          <w:b/>
          <w:noProof/>
          <w:sz w:val="18"/>
          <w:szCs w:val="18"/>
          <w:lang w:val="en-GB"/>
        </w:rPr>
        <w:t>Irritant</w:t>
      </w:r>
      <w:r w:rsidRPr="00E8610B">
        <w:rPr>
          <w:noProof/>
          <w:sz w:val="18"/>
          <w:szCs w:val="18"/>
          <w:lang w:val="en-GB"/>
        </w:rPr>
        <w:t xml:space="preserve">: Contains Methacrylate Esters which may irritate eyes, respiratory organs and skin.  In case of contact with the skin, wash immediately with plenty of water.  For full Health and Safety information </w:t>
      </w:r>
      <w:r>
        <w:rPr>
          <w:noProof/>
          <w:sz w:val="18"/>
          <w:szCs w:val="18"/>
          <w:lang w:val="en-GB"/>
        </w:rPr>
        <w:t xml:space="preserve">please </w:t>
      </w:r>
      <w:r w:rsidRPr="00E8610B">
        <w:rPr>
          <w:noProof/>
          <w:sz w:val="18"/>
          <w:szCs w:val="18"/>
          <w:lang w:val="en-GB"/>
        </w:rPr>
        <w:t>consult the MSDS.</w:t>
      </w:r>
    </w:p>
    <w:sectPr w:rsidR="003F6021" w:rsidRPr="00E8610B" w:rsidSect="007960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81" w:rsidRDefault="00E83581" w:rsidP="009D0CCB">
      <w:pPr>
        <w:spacing w:after="0" w:line="240" w:lineRule="auto"/>
      </w:pPr>
      <w:r>
        <w:separator/>
      </w:r>
    </w:p>
  </w:endnote>
  <w:endnote w:type="continuationSeparator" w:id="0">
    <w:p w:rsidR="00E83581" w:rsidRDefault="00E83581"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21" w:rsidRDefault="003F60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21" w:rsidRDefault="003F6021" w:rsidP="005C69B1">
    <w:pPr>
      <w:rPr>
        <w:sz w:val="14"/>
        <w:szCs w:val="14"/>
      </w:rPr>
    </w:pPr>
    <w:r>
      <w:rPr>
        <w:sz w:val="14"/>
        <w:szCs w:val="14"/>
      </w:rPr>
      <w:t xml:space="preserve">The data, information and values contained in this Technical Data Sheet have been obtained by specific tests conducted in a controlled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Bondchem Ltd are not liable for any financial loss or other damages incurred by the user as a result of the use of this product. </w:t>
    </w:r>
  </w:p>
  <w:p w:rsidR="003F6021" w:rsidRPr="005C69B1" w:rsidRDefault="003F6021" w:rsidP="005C69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21" w:rsidRDefault="003F60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81" w:rsidRDefault="00E83581" w:rsidP="009D0CCB">
      <w:pPr>
        <w:spacing w:after="0" w:line="240" w:lineRule="auto"/>
      </w:pPr>
      <w:r>
        <w:separator/>
      </w:r>
    </w:p>
  </w:footnote>
  <w:footnote w:type="continuationSeparator" w:id="0">
    <w:p w:rsidR="00E83581" w:rsidRDefault="00E83581"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21" w:rsidRDefault="003F60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21" w:rsidRDefault="00541E36" w:rsidP="009D0CCB">
    <w:pPr>
      <w:pStyle w:val="a3"/>
      <w:jc w:val="right"/>
    </w:pPr>
    <w:r>
      <w:rPr>
        <w:noProof/>
        <w:lang w:bidi="he-IL"/>
      </w:rPr>
      <w:drawing>
        <wp:inline distT="0" distB="0" distL="0" distR="0">
          <wp:extent cx="3439160" cy="11264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11264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21" w:rsidRDefault="003F60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43BB2"/>
    <w:rsid w:val="00151153"/>
    <w:rsid w:val="00171757"/>
    <w:rsid w:val="001A5EF6"/>
    <w:rsid w:val="001D00C5"/>
    <w:rsid w:val="001D309E"/>
    <w:rsid w:val="002C1D81"/>
    <w:rsid w:val="0031303C"/>
    <w:rsid w:val="003235D8"/>
    <w:rsid w:val="0036022D"/>
    <w:rsid w:val="003700E5"/>
    <w:rsid w:val="003710A1"/>
    <w:rsid w:val="003F6021"/>
    <w:rsid w:val="00445F2B"/>
    <w:rsid w:val="004503FF"/>
    <w:rsid w:val="00485386"/>
    <w:rsid w:val="004B725B"/>
    <w:rsid w:val="00541035"/>
    <w:rsid w:val="00541E36"/>
    <w:rsid w:val="00542C2C"/>
    <w:rsid w:val="00543CC1"/>
    <w:rsid w:val="00590048"/>
    <w:rsid w:val="005A7087"/>
    <w:rsid w:val="005A79CD"/>
    <w:rsid w:val="005C69B1"/>
    <w:rsid w:val="00644590"/>
    <w:rsid w:val="006529B0"/>
    <w:rsid w:val="006775C2"/>
    <w:rsid w:val="006C12B4"/>
    <w:rsid w:val="00707926"/>
    <w:rsid w:val="00794A56"/>
    <w:rsid w:val="007960EB"/>
    <w:rsid w:val="007C5B78"/>
    <w:rsid w:val="007D0A39"/>
    <w:rsid w:val="008E72CC"/>
    <w:rsid w:val="009C7A51"/>
    <w:rsid w:val="009D0CCB"/>
    <w:rsid w:val="00A55149"/>
    <w:rsid w:val="00A932A9"/>
    <w:rsid w:val="00B25D4E"/>
    <w:rsid w:val="00BA36E0"/>
    <w:rsid w:val="00C0264C"/>
    <w:rsid w:val="00D23635"/>
    <w:rsid w:val="00D710BC"/>
    <w:rsid w:val="00E55AAE"/>
    <w:rsid w:val="00E83581"/>
    <w:rsid w:val="00E8610B"/>
    <w:rsid w:val="00E96DF9"/>
    <w:rsid w:val="00F15D0D"/>
    <w:rsid w:val="00F61094"/>
    <w:rsid w:val="00F8130B"/>
    <w:rsid w:val="00FB4B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E0FC7BC-B2A5-47E1-8D72-C58AC27E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link w:val="a7"/>
    <w:uiPriority w:val="99"/>
    <w:semiHidden/>
    <w:locked/>
    <w:rsid w:val="009D0CCB"/>
    <w:rPr>
      <w:rFonts w:ascii="Tahoma" w:hAnsi="Tahoma" w:cs="Tahoma"/>
      <w:sz w:val="16"/>
      <w:szCs w:val="16"/>
    </w:rPr>
  </w:style>
  <w:style w:type="table" w:styleId="a9">
    <w:name w:val="Table Grid"/>
    <w:basedOn w:val="a1"/>
    <w:uiPriority w:val="99"/>
    <w:rsid w:val="005410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14483">
      <w:marLeft w:val="0"/>
      <w:marRight w:val="0"/>
      <w:marTop w:val="0"/>
      <w:marBottom w:val="0"/>
      <w:divBdr>
        <w:top w:val="none" w:sz="0" w:space="0" w:color="auto"/>
        <w:left w:val="none" w:sz="0" w:space="0" w:color="auto"/>
        <w:bottom w:val="none" w:sz="0" w:space="0" w:color="auto"/>
        <w:right w:val="none" w:sz="0" w:space="0" w:color="auto"/>
      </w:divBdr>
    </w:div>
    <w:div w:id="1327514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1879</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Technical Datasheet AT02</vt:lpstr>
    </vt:vector>
  </TitlesOfParts>
  <Company>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AT02</dc:title>
  <dc:subject/>
  <dc:creator>Owner</dc:creator>
  <cp:keywords/>
  <dc:description/>
  <cp:lastModifiedBy>Owner</cp:lastModifiedBy>
  <cp:revision>2</cp:revision>
  <cp:lastPrinted>2008-08-01T08:36:00Z</cp:lastPrinted>
  <dcterms:created xsi:type="dcterms:W3CDTF">2017-11-14T07:39:00Z</dcterms:created>
  <dcterms:modified xsi:type="dcterms:W3CDTF">2017-11-14T07:39:00Z</dcterms:modified>
</cp:coreProperties>
</file>