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C3A" w:rsidRDefault="00093690" w:rsidP="00404C3A">
      <w:pPr>
        <w:rPr>
          <w:b/>
          <w:noProof/>
          <w:sz w:val="32"/>
          <w:szCs w:val="32"/>
          <w:lang w:val="en-GB"/>
        </w:rPr>
      </w:pPr>
      <w:r w:rsidRPr="007D0A39">
        <w:rPr>
          <w:b/>
          <w:noProof/>
          <w:sz w:val="32"/>
          <w:szCs w:val="32"/>
          <w:lang w:val="en-GB"/>
        </w:rPr>
        <w:t>Technical Datasheet</w:t>
      </w:r>
    </w:p>
    <w:p w:rsidR="00093690" w:rsidRPr="007D0A39" w:rsidRDefault="00404C3A" w:rsidP="00404C3A">
      <w:pPr>
        <w:rPr>
          <w:b/>
          <w:noProof/>
          <w:sz w:val="32"/>
          <w:szCs w:val="32"/>
          <w:lang w:val="en-GB"/>
        </w:rPr>
      </w:pPr>
      <w:r>
        <w:rPr>
          <w:b/>
          <w:noProof/>
          <w:sz w:val="32"/>
          <w:szCs w:val="32"/>
          <w:lang w:val="en-GB"/>
        </w:rPr>
        <w:t>Holdtite ST3294</w:t>
      </w:r>
      <w:r w:rsidR="0039520F">
        <w:rPr>
          <w:b/>
          <w:noProof/>
          <w:sz w:val="32"/>
          <w:szCs w:val="32"/>
          <w:lang w:val="en-GB"/>
        </w:rPr>
        <w:t xml:space="preserve"> </w:t>
      </w:r>
    </w:p>
    <w:p w:rsidR="00093690" w:rsidRDefault="00093690">
      <w:pPr>
        <w:rPr>
          <w:b/>
          <w:noProof/>
          <w:sz w:val="28"/>
          <w:szCs w:val="28"/>
          <w:lang w:val="en-GB"/>
        </w:rPr>
      </w:pPr>
      <w:r w:rsidRPr="007D0A39">
        <w:rPr>
          <w:b/>
          <w:noProof/>
          <w:sz w:val="28"/>
          <w:szCs w:val="28"/>
          <w:lang w:val="en-GB"/>
        </w:rPr>
        <w:t>Product Description</w:t>
      </w:r>
    </w:p>
    <w:p w:rsidR="00093690" w:rsidRDefault="00404C3A" w:rsidP="00404C3A">
      <w:pPr>
        <w:rPr>
          <w:noProof/>
          <w:sz w:val="18"/>
          <w:szCs w:val="18"/>
          <w:lang w:val="en-GB"/>
        </w:rPr>
      </w:pPr>
      <w:r>
        <w:rPr>
          <w:noProof/>
          <w:sz w:val="18"/>
          <w:szCs w:val="18"/>
          <w:lang w:val="en-GB"/>
        </w:rPr>
        <w:t>Holdtite ST3294</w:t>
      </w:r>
      <w:r w:rsidR="00EE043E">
        <w:rPr>
          <w:noProof/>
          <w:sz w:val="18"/>
          <w:szCs w:val="18"/>
          <w:lang w:val="en-GB"/>
        </w:rPr>
        <w:t xml:space="preserve"> is a two component structural methac</w:t>
      </w:r>
      <w:r w:rsidR="007500F2">
        <w:rPr>
          <w:noProof/>
          <w:sz w:val="18"/>
          <w:szCs w:val="18"/>
          <w:lang w:val="en-GB"/>
        </w:rPr>
        <w:t>r</w:t>
      </w:r>
      <w:r w:rsidR="00EE043E">
        <w:rPr>
          <w:noProof/>
          <w:sz w:val="18"/>
          <w:szCs w:val="18"/>
          <w:lang w:val="en-GB"/>
        </w:rPr>
        <w:t xml:space="preserve">ylate adhesive, designed for the bonding of high strength metal and composite applications. </w:t>
      </w:r>
    </w:p>
    <w:p w:rsidR="00093690" w:rsidRDefault="00093690">
      <w:pPr>
        <w:rPr>
          <w:b/>
          <w:noProof/>
          <w:sz w:val="28"/>
          <w:szCs w:val="28"/>
          <w:lang w:val="en-GB"/>
        </w:rPr>
      </w:pPr>
      <w:r w:rsidRPr="005A79CD">
        <w:rPr>
          <w:b/>
          <w:noProof/>
          <w:sz w:val="28"/>
          <w:szCs w:val="28"/>
          <w:lang w:val="en-GB"/>
        </w:rPr>
        <w:t>Typical Applications</w:t>
      </w:r>
    </w:p>
    <w:p w:rsidR="00093690" w:rsidRPr="000C1C33" w:rsidRDefault="00404C3A" w:rsidP="00404C3A">
      <w:pPr>
        <w:rPr>
          <w:noProof/>
          <w:sz w:val="28"/>
          <w:szCs w:val="28"/>
          <w:lang w:val="en-GB"/>
        </w:rPr>
      </w:pPr>
      <w:r>
        <w:rPr>
          <w:noProof/>
          <w:sz w:val="18"/>
          <w:szCs w:val="18"/>
          <w:lang w:val="en-GB"/>
        </w:rPr>
        <w:t>Holdtite ST3294</w:t>
      </w:r>
      <w:r w:rsidR="00093690">
        <w:rPr>
          <w:noProof/>
          <w:sz w:val="18"/>
          <w:szCs w:val="18"/>
          <w:lang w:val="en-GB"/>
        </w:rPr>
        <w:t xml:space="preserve"> is very versatile, and can bond a wide variety of substrates without the need for surface primers or conditioners.  Typical examples shown below:</w:t>
      </w:r>
    </w:p>
    <w:p w:rsidR="00AC2AB1" w:rsidRPr="00AC2AB1" w:rsidRDefault="00AC2AB1" w:rsidP="00AC2AB1">
      <w:pPr>
        <w:pStyle w:val="aa"/>
        <w:numPr>
          <w:ilvl w:val="0"/>
          <w:numId w:val="6"/>
        </w:numPr>
        <w:rPr>
          <w:noProof/>
          <w:sz w:val="28"/>
          <w:szCs w:val="28"/>
          <w:lang w:val="en-GB"/>
        </w:rPr>
      </w:pPr>
      <w:r>
        <w:rPr>
          <w:noProof/>
          <w:sz w:val="18"/>
          <w:szCs w:val="18"/>
          <w:lang w:val="en-GB"/>
        </w:rPr>
        <w:t>Sign fabrication and installation</w:t>
      </w:r>
    </w:p>
    <w:p w:rsidR="00093690" w:rsidRPr="00AC2AB1" w:rsidRDefault="00093690" w:rsidP="00AC2AB1">
      <w:pPr>
        <w:pStyle w:val="aa"/>
        <w:numPr>
          <w:ilvl w:val="0"/>
          <w:numId w:val="6"/>
        </w:numPr>
        <w:rPr>
          <w:noProof/>
          <w:sz w:val="28"/>
          <w:szCs w:val="28"/>
          <w:lang w:val="en-GB"/>
        </w:rPr>
      </w:pPr>
      <w:r w:rsidRPr="00AC2AB1">
        <w:rPr>
          <w:noProof/>
          <w:sz w:val="18"/>
          <w:szCs w:val="18"/>
          <w:lang w:val="en-GB"/>
        </w:rPr>
        <w:t>Bonding automotive carbon fibre body panels</w:t>
      </w:r>
    </w:p>
    <w:p w:rsidR="00093690" w:rsidRPr="00AE3BA2" w:rsidRDefault="00093690" w:rsidP="003746BB">
      <w:pPr>
        <w:pStyle w:val="aa"/>
        <w:numPr>
          <w:ilvl w:val="0"/>
          <w:numId w:val="6"/>
        </w:numPr>
        <w:rPr>
          <w:noProof/>
          <w:sz w:val="18"/>
          <w:szCs w:val="18"/>
          <w:lang w:val="en-GB"/>
        </w:rPr>
      </w:pPr>
      <w:r w:rsidRPr="00AE3BA2">
        <w:rPr>
          <w:noProof/>
          <w:sz w:val="18"/>
          <w:szCs w:val="18"/>
          <w:lang w:val="en-GB"/>
        </w:rPr>
        <w:t xml:space="preserve">Bonding </w:t>
      </w:r>
      <w:r w:rsidR="00AC2AB1">
        <w:rPr>
          <w:noProof/>
          <w:sz w:val="18"/>
          <w:szCs w:val="18"/>
          <w:lang w:val="en-GB"/>
        </w:rPr>
        <w:t>magnets to motor housings</w:t>
      </w:r>
    </w:p>
    <w:p w:rsidR="00093690" w:rsidRPr="003746BB" w:rsidRDefault="00093690" w:rsidP="003746BB">
      <w:pPr>
        <w:pStyle w:val="aa"/>
        <w:numPr>
          <w:ilvl w:val="0"/>
          <w:numId w:val="6"/>
        </w:numPr>
        <w:rPr>
          <w:noProof/>
          <w:sz w:val="28"/>
          <w:szCs w:val="28"/>
          <w:lang w:val="en-GB"/>
        </w:rPr>
      </w:pPr>
      <w:r w:rsidRPr="00AE3BA2">
        <w:rPr>
          <w:noProof/>
          <w:sz w:val="18"/>
          <w:szCs w:val="18"/>
          <w:lang w:val="en-GB"/>
        </w:rPr>
        <w:t xml:space="preserve">Bonding </w:t>
      </w:r>
      <w:r>
        <w:rPr>
          <w:noProof/>
          <w:sz w:val="18"/>
          <w:szCs w:val="18"/>
          <w:lang w:val="en-GB"/>
        </w:rPr>
        <w:t>dissimilar metals for trailer fabrication</w:t>
      </w:r>
    </w:p>
    <w:p w:rsidR="00093690" w:rsidRPr="005A79CD" w:rsidRDefault="00093690">
      <w:pPr>
        <w:rPr>
          <w:b/>
          <w:noProof/>
          <w:sz w:val="28"/>
          <w:szCs w:val="28"/>
          <w:lang w:val="en-GB"/>
        </w:rPr>
      </w:pPr>
      <w:r w:rsidRPr="005A79CD">
        <w:rPr>
          <w:b/>
          <w:noProof/>
          <w:sz w:val="28"/>
          <w:szCs w:val="28"/>
          <w:lang w:val="en-GB"/>
        </w:rPr>
        <w:t>Instructions For Use</w:t>
      </w:r>
    </w:p>
    <w:p w:rsidR="00093690" w:rsidRDefault="00093690" w:rsidP="00404C3A">
      <w:pPr>
        <w:pStyle w:val="aa"/>
        <w:numPr>
          <w:ilvl w:val="0"/>
          <w:numId w:val="3"/>
        </w:numPr>
        <w:rPr>
          <w:noProof/>
          <w:sz w:val="18"/>
          <w:szCs w:val="18"/>
          <w:lang w:val="en-GB"/>
        </w:rPr>
      </w:pPr>
      <w:r>
        <w:rPr>
          <w:noProof/>
          <w:sz w:val="18"/>
          <w:szCs w:val="18"/>
          <w:lang w:val="en-GB"/>
        </w:rPr>
        <w:t xml:space="preserve">Always consult MSDS before using </w:t>
      </w:r>
      <w:r w:rsidR="00404C3A">
        <w:rPr>
          <w:noProof/>
          <w:sz w:val="18"/>
          <w:szCs w:val="18"/>
          <w:lang w:val="en-GB"/>
        </w:rPr>
        <w:t>ST3294</w:t>
      </w:r>
      <w:r>
        <w:rPr>
          <w:noProof/>
          <w:sz w:val="18"/>
          <w:szCs w:val="18"/>
          <w:lang w:val="en-GB"/>
        </w:rPr>
        <w:t xml:space="preserve"> for the first time.</w:t>
      </w:r>
    </w:p>
    <w:p w:rsidR="00093690" w:rsidRDefault="00093690" w:rsidP="00151153">
      <w:pPr>
        <w:pStyle w:val="aa"/>
        <w:numPr>
          <w:ilvl w:val="0"/>
          <w:numId w:val="3"/>
        </w:numPr>
        <w:rPr>
          <w:noProof/>
          <w:sz w:val="18"/>
          <w:szCs w:val="18"/>
          <w:lang w:val="en-GB"/>
        </w:rPr>
      </w:pPr>
      <w:r w:rsidRPr="00E1401E">
        <w:rPr>
          <w:noProof/>
          <w:sz w:val="18"/>
          <w:szCs w:val="18"/>
          <w:lang w:val="en-GB"/>
        </w:rPr>
        <w:t>Carry out surface preparation where required</w:t>
      </w:r>
      <w:r>
        <w:rPr>
          <w:noProof/>
          <w:sz w:val="18"/>
          <w:szCs w:val="18"/>
          <w:lang w:val="en-GB"/>
        </w:rPr>
        <w:t>.</w:t>
      </w:r>
      <w:r w:rsidRPr="00E1401E">
        <w:rPr>
          <w:noProof/>
          <w:sz w:val="18"/>
          <w:szCs w:val="18"/>
          <w:lang w:val="en-GB"/>
        </w:rPr>
        <w:t xml:space="preserve"> </w:t>
      </w:r>
      <w:r>
        <w:rPr>
          <w:noProof/>
          <w:sz w:val="18"/>
          <w:szCs w:val="18"/>
          <w:lang w:val="en-GB"/>
        </w:rPr>
        <w:t>*</w:t>
      </w:r>
    </w:p>
    <w:p w:rsidR="00093690" w:rsidRPr="00E1401E" w:rsidRDefault="00093690" w:rsidP="00151153">
      <w:pPr>
        <w:pStyle w:val="aa"/>
        <w:numPr>
          <w:ilvl w:val="0"/>
          <w:numId w:val="3"/>
        </w:numPr>
        <w:rPr>
          <w:noProof/>
          <w:sz w:val="18"/>
          <w:szCs w:val="18"/>
          <w:lang w:val="en-GB"/>
        </w:rPr>
      </w:pPr>
      <w:r w:rsidRPr="00E1401E">
        <w:rPr>
          <w:noProof/>
          <w:sz w:val="18"/>
          <w:szCs w:val="18"/>
          <w:lang w:val="en-GB"/>
        </w:rPr>
        <w:t>Remove cap, and attach mixer nozzle</w:t>
      </w:r>
      <w:r>
        <w:rPr>
          <w:noProof/>
          <w:sz w:val="18"/>
          <w:szCs w:val="18"/>
          <w:lang w:val="en-GB"/>
        </w:rPr>
        <w:t>.</w:t>
      </w:r>
    </w:p>
    <w:p w:rsidR="00093690" w:rsidRDefault="00093690" w:rsidP="00445F2B">
      <w:pPr>
        <w:pStyle w:val="aa"/>
        <w:numPr>
          <w:ilvl w:val="0"/>
          <w:numId w:val="3"/>
        </w:numPr>
        <w:rPr>
          <w:noProof/>
          <w:sz w:val="18"/>
          <w:szCs w:val="18"/>
          <w:lang w:val="en-GB"/>
        </w:rPr>
      </w:pPr>
      <w:r>
        <w:rPr>
          <w:noProof/>
          <w:sz w:val="18"/>
          <w:szCs w:val="18"/>
          <w:lang w:val="en-GB"/>
        </w:rPr>
        <w:t>Dispense sufficient adhesive to ensure equal mix.</w:t>
      </w:r>
    </w:p>
    <w:p w:rsidR="00093690" w:rsidRDefault="00093690" w:rsidP="00445F2B">
      <w:pPr>
        <w:pStyle w:val="aa"/>
        <w:numPr>
          <w:ilvl w:val="0"/>
          <w:numId w:val="3"/>
        </w:numPr>
        <w:rPr>
          <w:noProof/>
          <w:sz w:val="18"/>
          <w:szCs w:val="18"/>
          <w:lang w:val="en-GB"/>
        </w:rPr>
      </w:pPr>
      <w:r>
        <w:rPr>
          <w:noProof/>
          <w:sz w:val="18"/>
          <w:szCs w:val="18"/>
          <w:lang w:val="en-GB"/>
        </w:rPr>
        <w:t>Apply adhesive to one su</w:t>
      </w:r>
      <w:r w:rsidR="007500F2">
        <w:rPr>
          <w:noProof/>
          <w:sz w:val="18"/>
          <w:szCs w:val="18"/>
          <w:lang w:val="en-GB"/>
        </w:rPr>
        <w:t>r</w:t>
      </w:r>
      <w:r>
        <w:rPr>
          <w:noProof/>
          <w:sz w:val="18"/>
          <w:szCs w:val="18"/>
          <w:lang w:val="en-GB"/>
        </w:rPr>
        <w:t>face and assemble components carefully, clamping if required.</w:t>
      </w:r>
    </w:p>
    <w:p w:rsidR="00093690" w:rsidRDefault="00093690" w:rsidP="00445F2B">
      <w:pPr>
        <w:pStyle w:val="aa"/>
        <w:numPr>
          <w:ilvl w:val="0"/>
          <w:numId w:val="3"/>
        </w:numPr>
        <w:rPr>
          <w:noProof/>
          <w:sz w:val="18"/>
          <w:szCs w:val="18"/>
          <w:lang w:val="en-GB"/>
        </w:rPr>
      </w:pPr>
      <w:r>
        <w:rPr>
          <w:noProof/>
          <w:sz w:val="18"/>
          <w:szCs w:val="18"/>
          <w:lang w:val="en-GB"/>
        </w:rPr>
        <w:t>It is always easier to remove any excess adhesive prior to cure using a suitable cleaner *</w:t>
      </w:r>
    </w:p>
    <w:p w:rsidR="00093690" w:rsidRPr="00E1401E" w:rsidRDefault="00093690" w:rsidP="00E1401E">
      <w:pPr>
        <w:pStyle w:val="aa"/>
        <w:numPr>
          <w:ilvl w:val="0"/>
          <w:numId w:val="3"/>
        </w:numPr>
        <w:rPr>
          <w:noProof/>
          <w:sz w:val="18"/>
          <w:szCs w:val="18"/>
          <w:lang w:val="en-GB"/>
        </w:rPr>
      </w:pPr>
      <w:r>
        <w:rPr>
          <w:noProof/>
          <w:sz w:val="18"/>
          <w:szCs w:val="18"/>
          <w:lang w:val="en-GB"/>
        </w:rPr>
        <w:t>Allow the adhesive sufficient time to achieve handling strength before moving or unclamping  components.</w:t>
      </w:r>
    </w:p>
    <w:p w:rsidR="00093690" w:rsidRDefault="00093690" w:rsidP="00E1401E">
      <w:pPr>
        <w:pStyle w:val="aa"/>
        <w:ind w:left="0"/>
        <w:rPr>
          <w:noProof/>
          <w:sz w:val="18"/>
          <w:szCs w:val="18"/>
          <w:lang w:val="en-GB"/>
        </w:rPr>
      </w:pPr>
    </w:p>
    <w:p w:rsidR="007500F2" w:rsidRPr="007500F2" w:rsidRDefault="007500F2" w:rsidP="007500F2">
      <w:pPr>
        <w:pStyle w:val="aa"/>
        <w:rPr>
          <w:b/>
          <w:i/>
          <w:noProof/>
          <w:sz w:val="18"/>
          <w:szCs w:val="18"/>
          <w:lang w:val="en-GB"/>
        </w:rPr>
      </w:pPr>
      <w:r w:rsidRPr="007500F2">
        <w:rPr>
          <w:b/>
          <w:i/>
          <w:noProof/>
          <w:sz w:val="18"/>
          <w:szCs w:val="18"/>
          <w:lang w:val="en-GB"/>
        </w:rPr>
        <w:t xml:space="preserve">*Contact your Bondchem representitive for full </w:t>
      </w:r>
    </w:p>
    <w:p w:rsidR="00093690" w:rsidRPr="007500F2" w:rsidRDefault="007500F2" w:rsidP="007500F2">
      <w:pPr>
        <w:pStyle w:val="aa"/>
        <w:ind w:left="0" w:firstLine="720"/>
        <w:rPr>
          <w:b/>
          <w:i/>
          <w:noProof/>
          <w:sz w:val="18"/>
          <w:szCs w:val="18"/>
          <w:lang w:val="en-GB"/>
        </w:rPr>
      </w:pPr>
      <w:r w:rsidRPr="007500F2">
        <w:rPr>
          <w:b/>
          <w:i/>
          <w:noProof/>
          <w:sz w:val="18"/>
          <w:szCs w:val="18"/>
          <w:lang w:val="en-GB"/>
        </w:rPr>
        <w:t>information and usage instructions.</w:t>
      </w:r>
    </w:p>
    <w:p w:rsidR="00093690" w:rsidRDefault="00093690" w:rsidP="00445F2B">
      <w:pPr>
        <w:rPr>
          <w:b/>
          <w:noProof/>
          <w:sz w:val="28"/>
          <w:szCs w:val="28"/>
          <w:lang w:val="en-GB"/>
        </w:rPr>
      </w:pPr>
    </w:p>
    <w:p w:rsidR="00AC2AB1" w:rsidRDefault="00AC2AB1" w:rsidP="00445F2B">
      <w:pPr>
        <w:rPr>
          <w:b/>
          <w:noProof/>
          <w:sz w:val="28"/>
          <w:szCs w:val="28"/>
          <w:lang w:val="en-GB"/>
        </w:rPr>
      </w:pPr>
    </w:p>
    <w:p w:rsidR="00AC2AB1" w:rsidRPr="00404C3A" w:rsidRDefault="00AC2AB1" w:rsidP="00445F2B">
      <w:pPr>
        <w:rPr>
          <w:b/>
          <w:noProof/>
          <w:sz w:val="16"/>
          <w:szCs w:val="16"/>
          <w:lang w:val="en-GB"/>
        </w:rPr>
      </w:pPr>
    </w:p>
    <w:p w:rsidR="00743D57" w:rsidRDefault="00743D57" w:rsidP="00445F2B">
      <w:pPr>
        <w:rPr>
          <w:b/>
          <w:noProof/>
          <w:sz w:val="28"/>
          <w:szCs w:val="28"/>
          <w:lang w:val="en-GB"/>
        </w:rPr>
      </w:pPr>
    </w:p>
    <w:p w:rsidR="00093690" w:rsidRPr="00445F2B" w:rsidRDefault="00093690" w:rsidP="00445F2B">
      <w:pPr>
        <w:rPr>
          <w:b/>
          <w:noProof/>
          <w:sz w:val="28"/>
          <w:szCs w:val="28"/>
          <w:lang w:val="en-GB"/>
        </w:rPr>
      </w:pPr>
      <w:r w:rsidRPr="00445F2B">
        <w:rPr>
          <w:b/>
          <w:noProof/>
          <w:sz w:val="28"/>
          <w:szCs w:val="28"/>
          <w:lang w:val="en-GB"/>
        </w:rPr>
        <w:t>Properties of Uncured Material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00"/>
        <w:gridCol w:w="2242"/>
      </w:tblGrid>
      <w:tr w:rsidR="00093690" w:rsidRPr="0051713E" w:rsidTr="00EE043E">
        <w:trPr>
          <w:jc w:val="center"/>
        </w:trPr>
        <w:tc>
          <w:tcPr>
            <w:tcW w:w="2300" w:type="dxa"/>
          </w:tcPr>
          <w:p w:rsidR="00093690" w:rsidRPr="0051713E" w:rsidRDefault="00093690" w:rsidP="0051713E">
            <w:pPr>
              <w:spacing w:after="0" w:line="240" w:lineRule="auto"/>
              <w:rPr>
                <w:noProof/>
                <w:sz w:val="18"/>
                <w:szCs w:val="18"/>
                <w:lang w:val="en-GB"/>
              </w:rPr>
            </w:pPr>
            <w:r w:rsidRPr="0051713E">
              <w:rPr>
                <w:noProof/>
                <w:sz w:val="18"/>
                <w:szCs w:val="18"/>
                <w:lang w:val="en-GB"/>
              </w:rPr>
              <w:t>Resin</w:t>
            </w:r>
          </w:p>
        </w:tc>
        <w:tc>
          <w:tcPr>
            <w:tcW w:w="2242" w:type="dxa"/>
          </w:tcPr>
          <w:p w:rsidR="00093690" w:rsidRPr="0051713E" w:rsidRDefault="00093690" w:rsidP="0051713E">
            <w:pPr>
              <w:spacing w:after="0" w:line="240" w:lineRule="auto"/>
              <w:rPr>
                <w:noProof/>
                <w:sz w:val="18"/>
                <w:szCs w:val="18"/>
                <w:lang w:val="en-GB"/>
              </w:rPr>
            </w:pPr>
            <w:r w:rsidRPr="0051713E">
              <w:rPr>
                <w:noProof/>
                <w:sz w:val="18"/>
                <w:szCs w:val="18"/>
                <w:lang w:val="en-GB"/>
              </w:rPr>
              <w:t>Methyl Methacrylate</w:t>
            </w:r>
          </w:p>
        </w:tc>
      </w:tr>
      <w:tr w:rsidR="00093690" w:rsidRPr="0051713E" w:rsidTr="00EE043E">
        <w:trPr>
          <w:jc w:val="center"/>
        </w:trPr>
        <w:tc>
          <w:tcPr>
            <w:tcW w:w="2300" w:type="dxa"/>
          </w:tcPr>
          <w:p w:rsidR="00093690" w:rsidRPr="0051713E" w:rsidRDefault="00093690" w:rsidP="0051713E">
            <w:pPr>
              <w:spacing w:after="0" w:line="240" w:lineRule="auto"/>
              <w:rPr>
                <w:noProof/>
                <w:sz w:val="18"/>
                <w:szCs w:val="18"/>
                <w:lang w:val="en-GB"/>
              </w:rPr>
            </w:pPr>
            <w:r w:rsidRPr="0051713E">
              <w:rPr>
                <w:noProof/>
                <w:sz w:val="18"/>
                <w:szCs w:val="18"/>
                <w:lang w:val="en-GB"/>
              </w:rPr>
              <w:t>Colour</w:t>
            </w:r>
          </w:p>
        </w:tc>
        <w:tc>
          <w:tcPr>
            <w:tcW w:w="2242" w:type="dxa"/>
          </w:tcPr>
          <w:p w:rsidR="00093690" w:rsidRPr="0051713E" w:rsidRDefault="0039520F" w:rsidP="0051713E">
            <w:pPr>
              <w:spacing w:after="0" w:line="240" w:lineRule="auto"/>
              <w:rPr>
                <w:noProof/>
                <w:sz w:val="18"/>
                <w:szCs w:val="18"/>
                <w:lang w:val="en-GB"/>
              </w:rPr>
            </w:pPr>
            <w:r>
              <w:rPr>
                <w:noProof/>
                <w:sz w:val="18"/>
                <w:szCs w:val="18"/>
                <w:lang w:val="en-GB"/>
              </w:rPr>
              <w:t>Green/Pink</w:t>
            </w:r>
          </w:p>
        </w:tc>
      </w:tr>
      <w:tr w:rsidR="00093690" w:rsidRPr="0051713E" w:rsidTr="00EE043E">
        <w:trPr>
          <w:jc w:val="center"/>
        </w:trPr>
        <w:tc>
          <w:tcPr>
            <w:tcW w:w="2300" w:type="dxa"/>
          </w:tcPr>
          <w:p w:rsidR="00093690" w:rsidRPr="0051713E" w:rsidRDefault="00093690" w:rsidP="0051713E">
            <w:pPr>
              <w:spacing w:after="0" w:line="240" w:lineRule="auto"/>
              <w:rPr>
                <w:noProof/>
                <w:sz w:val="18"/>
                <w:szCs w:val="18"/>
                <w:lang w:val="en-GB"/>
              </w:rPr>
            </w:pPr>
            <w:r w:rsidRPr="0051713E">
              <w:rPr>
                <w:noProof/>
                <w:sz w:val="18"/>
                <w:szCs w:val="18"/>
                <w:lang w:val="en-GB"/>
              </w:rPr>
              <w:t>Appearance</w:t>
            </w:r>
          </w:p>
        </w:tc>
        <w:tc>
          <w:tcPr>
            <w:tcW w:w="2242" w:type="dxa"/>
          </w:tcPr>
          <w:p w:rsidR="00093690" w:rsidRPr="0051713E" w:rsidRDefault="0039520F" w:rsidP="0051713E">
            <w:pPr>
              <w:spacing w:after="0" w:line="240" w:lineRule="auto"/>
              <w:rPr>
                <w:noProof/>
                <w:sz w:val="18"/>
                <w:szCs w:val="18"/>
                <w:lang w:val="en-GB"/>
              </w:rPr>
            </w:pPr>
            <w:r>
              <w:rPr>
                <w:noProof/>
                <w:sz w:val="18"/>
                <w:szCs w:val="18"/>
                <w:lang w:val="en-GB"/>
              </w:rPr>
              <w:t>Liquid</w:t>
            </w:r>
          </w:p>
        </w:tc>
      </w:tr>
      <w:tr w:rsidR="00093690" w:rsidRPr="0051713E" w:rsidTr="00EE043E">
        <w:trPr>
          <w:jc w:val="center"/>
        </w:trPr>
        <w:tc>
          <w:tcPr>
            <w:tcW w:w="2300" w:type="dxa"/>
          </w:tcPr>
          <w:p w:rsidR="00093690" w:rsidRPr="0051713E" w:rsidRDefault="00093690" w:rsidP="0051713E">
            <w:pPr>
              <w:spacing w:after="0" w:line="240" w:lineRule="auto"/>
              <w:rPr>
                <w:noProof/>
                <w:sz w:val="18"/>
                <w:szCs w:val="18"/>
                <w:lang w:val="en-GB"/>
              </w:rPr>
            </w:pPr>
            <w:r w:rsidRPr="0051713E">
              <w:rPr>
                <w:noProof/>
                <w:sz w:val="18"/>
                <w:szCs w:val="18"/>
                <w:lang w:val="en-GB"/>
              </w:rPr>
              <w:t xml:space="preserve">Viscosity </w:t>
            </w:r>
            <w:smartTag w:uri="urn:schemas-microsoft-com:office:smarttags" w:element="place">
              <w:smartTag w:uri="urn:schemas-microsoft-com:office:smarttags" w:element="City">
                <w:r w:rsidRPr="0051713E">
                  <w:rPr>
                    <w:noProof/>
                    <w:sz w:val="18"/>
                    <w:szCs w:val="18"/>
                    <w:lang w:val="en-GB"/>
                  </w:rPr>
                  <w:t>Brookfield</w:t>
                </w:r>
              </w:smartTag>
            </w:smartTag>
            <w:r w:rsidRPr="0051713E">
              <w:rPr>
                <w:noProof/>
                <w:sz w:val="18"/>
                <w:szCs w:val="18"/>
                <w:lang w:val="en-GB"/>
              </w:rPr>
              <w:t xml:space="preserve"> T Bar </w:t>
            </w:r>
          </w:p>
        </w:tc>
        <w:tc>
          <w:tcPr>
            <w:tcW w:w="2242" w:type="dxa"/>
          </w:tcPr>
          <w:p w:rsidR="00093690" w:rsidRPr="0051713E" w:rsidRDefault="00743D57" w:rsidP="0051713E">
            <w:pPr>
              <w:spacing w:after="0" w:line="240" w:lineRule="auto"/>
              <w:rPr>
                <w:noProof/>
                <w:sz w:val="18"/>
                <w:szCs w:val="18"/>
                <w:lang w:val="en-GB"/>
              </w:rPr>
            </w:pPr>
            <w:r>
              <w:rPr>
                <w:noProof/>
                <w:sz w:val="18"/>
                <w:szCs w:val="18"/>
                <w:lang w:val="en-GB"/>
              </w:rPr>
              <w:t>4</w:t>
            </w:r>
            <w:r w:rsidR="0039520F">
              <w:rPr>
                <w:noProof/>
                <w:sz w:val="18"/>
                <w:szCs w:val="18"/>
                <w:lang w:val="en-GB"/>
              </w:rPr>
              <w:t>000</w:t>
            </w:r>
            <w:r w:rsidR="00093690" w:rsidRPr="0051713E">
              <w:rPr>
                <w:noProof/>
                <w:sz w:val="18"/>
                <w:szCs w:val="18"/>
                <w:lang w:val="en-GB"/>
              </w:rPr>
              <w:t xml:space="preserve">cps </w:t>
            </w:r>
          </w:p>
        </w:tc>
      </w:tr>
      <w:tr w:rsidR="00093690" w:rsidRPr="0051713E" w:rsidTr="00EE043E">
        <w:trPr>
          <w:jc w:val="center"/>
        </w:trPr>
        <w:tc>
          <w:tcPr>
            <w:tcW w:w="2300" w:type="dxa"/>
          </w:tcPr>
          <w:p w:rsidR="00093690" w:rsidRPr="0051713E" w:rsidRDefault="00093690" w:rsidP="0051713E">
            <w:pPr>
              <w:spacing w:after="0" w:line="240" w:lineRule="auto"/>
              <w:rPr>
                <w:noProof/>
                <w:sz w:val="18"/>
                <w:szCs w:val="18"/>
                <w:lang w:val="en-GB"/>
              </w:rPr>
            </w:pPr>
            <w:r w:rsidRPr="0051713E">
              <w:rPr>
                <w:noProof/>
                <w:sz w:val="18"/>
                <w:szCs w:val="18"/>
                <w:lang w:val="en-GB"/>
              </w:rPr>
              <w:t>Cure System</w:t>
            </w:r>
          </w:p>
        </w:tc>
        <w:tc>
          <w:tcPr>
            <w:tcW w:w="2242" w:type="dxa"/>
          </w:tcPr>
          <w:p w:rsidR="00093690" w:rsidRPr="0051713E" w:rsidRDefault="00093690" w:rsidP="0051713E">
            <w:pPr>
              <w:spacing w:after="0" w:line="240" w:lineRule="auto"/>
              <w:rPr>
                <w:noProof/>
                <w:sz w:val="18"/>
                <w:szCs w:val="18"/>
                <w:lang w:val="en-GB"/>
              </w:rPr>
            </w:pPr>
            <w:r w:rsidRPr="0051713E">
              <w:rPr>
                <w:noProof/>
                <w:sz w:val="18"/>
                <w:szCs w:val="18"/>
                <w:lang w:val="en-GB"/>
              </w:rPr>
              <w:t>Exothermic</w:t>
            </w:r>
          </w:p>
        </w:tc>
      </w:tr>
      <w:tr w:rsidR="00093690" w:rsidRPr="0051713E" w:rsidTr="00EE043E">
        <w:trPr>
          <w:trHeight w:val="248"/>
          <w:jc w:val="center"/>
        </w:trPr>
        <w:tc>
          <w:tcPr>
            <w:tcW w:w="2300" w:type="dxa"/>
          </w:tcPr>
          <w:p w:rsidR="00093690" w:rsidRPr="0051713E" w:rsidRDefault="00093690" w:rsidP="0051713E">
            <w:pPr>
              <w:spacing w:after="0" w:line="240" w:lineRule="auto"/>
              <w:rPr>
                <w:noProof/>
                <w:sz w:val="18"/>
                <w:szCs w:val="18"/>
                <w:lang w:val="en-GB"/>
              </w:rPr>
            </w:pPr>
            <w:r w:rsidRPr="0051713E">
              <w:rPr>
                <w:noProof/>
                <w:sz w:val="18"/>
                <w:szCs w:val="18"/>
                <w:lang w:val="en-GB"/>
              </w:rPr>
              <w:t xml:space="preserve">Open Time </w:t>
            </w:r>
          </w:p>
        </w:tc>
        <w:tc>
          <w:tcPr>
            <w:tcW w:w="2242" w:type="dxa"/>
          </w:tcPr>
          <w:p w:rsidR="00093690" w:rsidRPr="0051713E" w:rsidRDefault="0039520F" w:rsidP="0051713E">
            <w:pPr>
              <w:spacing w:after="0" w:line="240" w:lineRule="auto"/>
              <w:rPr>
                <w:noProof/>
                <w:sz w:val="18"/>
                <w:szCs w:val="18"/>
                <w:lang w:val="en-GB"/>
              </w:rPr>
            </w:pPr>
            <w:r>
              <w:rPr>
                <w:noProof/>
                <w:sz w:val="18"/>
                <w:szCs w:val="18"/>
                <w:lang w:val="en-GB"/>
              </w:rPr>
              <w:t>2-3</w:t>
            </w:r>
            <w:r w:rsidR="00093690" w:rsidRPr="0051713E">
              <w:rPr>
                <w:noProof/>
                <w:sz w:val="18"/>
                <w:szCs w:val="18"/>
                <w:lang w:val="en-GB"/>
              </w:rPr>
              <w:t xml:space="preserve"> Minutes @20</w:t>
            </w:r>
            <w:r w:rsidR="00093690" w:rsidRPr="0051713E">
              <w:rPr>
                <w:noProof/>
                <w:sz w:val="18"/>
                <w:szCs w:val="18"/>
                <w:vertAlign w:val="superscript"/>
                <w:lang w:val="en-GB"/>
              </w:rPr>
              <w:t>0</w:t>
            </w:r>
            <w:r w:rsidR="00093690" w:rsidRPr="0051713E">
              <w:rPr>
                <w:noProof/>
                <w:sz w:val="18"/>
                <w:szCs w:val="18"/>
                <w:lang w:val="en-GB"/>
              </w:rPr>
              <w:t>C</w:t>
            </w:r>
          </w:p>
        </w:tc>
      </w:tr>
      <w:tr w:rsidR="00093690" w:rsidRPr="0051713E" w:rsidTr="00EE043E">
        <w:trPr>
          <w:trHeight w:val="248"/>
          <w:jc w:val="center"/>
        </w:trPr>
        <w:tc>
          <w:tcPr>
            <w:tcW w:w="2300" w:type="dxa"/>
          </w:tcPr>
          <w:p w:rsidR="00093690" w:rsidRPr="0051713E" w:rsidRDefault="00093690" w:rsidP="0051713E">
            <w:pPr>
              <w:spacing w:after="0" w:line="240" w:lineRule="auto"/>
              <w:rPr>
                <w:b/>
                <w:noProof/>
                <w:sz w:val="18"/>
                <w:szCs w:val="18"/>
                <w:lang w:val="en-GB"/>
              </w:rPr>
            </w:pPr>
            <w:r w:rsidRPr="0051713E">
              <w:rPr>
                <w:noProof/>
                <w:sz w:val="18"/>
                <w:szCs w:val="18"/>
                <w:lang w:val="en-GB"/>
              </w:rPr>
              <w:t>Handling Strength</w:t>
            </w:r>
          </w:p>
        </w:tc>
        <w:tc>
          <w:tcPr>
            <w:tcW w:w="2242" w:type="dxa"/>
          </w:tcPr>
          <w:p w:rsidR="00093690" w:rsidRPr="0051713E" w:rsidRDefault="0039520F" w:rsidP="0051713E">
            <w:pPr>
              <w:spacing w:after="0" w:line="240" w:lineRule="auto"/>
              <w:rPr>
                <w:noProof/>
                <w:sz w:val="18"/>
                <w:szCs w:val="18"/>
                <w:lang w:val="en-GB"/>
              </w:rPr>
            </w:pPr>
            <w:r>
              <w:rPr>
                <w:noProof/>
                <w:sz w:val="18"/>
                <w:szCs w:val="18"/>
                <w:lang w:val="en-GB"/>
              </w:rPr>
              <w:t>4-5</w:t>
            </w:r>
            <w:r w:rsidR="00093690" w:rsidRPr="0051713E">
              <w:rPr>
                <w:noProof/>
                <w:sz w:val="18"/>
                <w:szCs w:val="18"/>
                <w:lang w:val="en-GB"/>
              </w:rPr>
              <w:t xml:space="preserve"> Minutes@ 20</w:t>
            </w:r>
            <w:r w:rsidR="00093690" w:rsidRPr="0051713E">
              <w:rPr>
                <w:noProof/>
                <w:sz w:val="18"/>
                <w:szCs w:val="18"/>
                <w:vertAlign w:val="superscript"/>
                <w:lang w:val="en-GB"/>
              </w:rPr>
              <w:t>0</w:t>
            </w:r>
            <w:r w:rsidR="00093690" w:rsidRPr="0051713E">
              <w:rPr>
                <w:noProof/>
                <w:sz w:val="18"/>
                <w:szCs w:val="18"/>
                <w:lang w:val="en-GB"/>
              </w:rPr>
              <w:t>C</w:t>
            </w:r>
          </w:p>
        </w:tc>
      </w:tr>
    </w:tbl>
    <w:p w:rsidR="00093690" w:rsidRPr="00404C3A" w:rsidRDefault="00093690">
      <w:pPr>
        <w:rPr>
          <w:noProof/>
          <w:sz w:val="16"/>
          <w:szCs w:val="16"/>
          <w:lang w:val="en-GB"/>
        </w:rPr>
      </w:pPr>
    </w:p>
    <w:p w:rsidR="00093690" w:rsidRDefault="00093690">
      <w:pPr>
        <w:rPr>
          <w:b/>
          <w:noProof/>
          <w:sz w:val="28"/>
          <w:szCs w:val="28"/>
          <w:lang w:val="en-GB"/>
        </w:rPr>
      </w:pPr>
      <w:r>
        <w:rPr>
          <w:b/>
          <w:noProof/>
          <w:sz w:val="28"/>
          <w:szCs w:val="28"/>
          <w:lang w:val="en-GB"/>
        </w:rPr>
        <w:t>P</w:t>
      </w:r>
      <w:r w:rsidRPr="005A79CD">
        <w:rPr>
          <w:b/>
          <w:noProof/>
          <w:sz w:val="28"/>
          <w:szCs w:val="28"/>
          <w:lang w:val="en-GB"/>
        </w:rPr>
        <w:t>erformance of Cured Material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4"/>
        <w:gridCol w:w="2256"/>
      </w:tblGrid>
      <w:tr w:rsidR="00EE043E" w:rsidRPr="0051713E" w:rsidTr="00EE043E">
        <w:trPr>
          <w:trHeight w:val="248"/>
          <w:jc w:val="center"/>
        </w:trPr>
        <w:tc>
          <w:tcPr>
            <w:tcW w:w="2314" w:type="dxa"/>
          </w:tcPr>
          <w:p w:rsidR="00EE043E" w:rsidRPr="00D01EDD" w:rsidRDefault="00EE043E" w:rsidP="007A7038">
            <w:pPr>
              <w:spacing w:after="0" w:line="240" w:lineRule="auto"/>
              <w:rPr>
                <w:noProof/>
                <w:sz w:val="18"/>
                <w:szCs w:val="18"/>
                <w:lang w:val="en-GB"/>
              </w:rPr>
            </w:pPr>
            <w:r>
              <w:rPr>
                <w:noProof/>
                <w:sz w:val="18"/>
                <w:szCs w:val="18"/>
                <w:lang w:val="en-GB"/>
              </w:rPr>
              <w:t>ASTM D1002 Lapshear</w:t>
            </w:r>
          </w:p>
        </w:tc>
        <w:tc>
          <w:tcPr>
            <w:tcW w:w="2256" w:type="dxa"/>
          </w:tcPr>
          <w:p w:rsidR="00EE043E" w:rsidRPr="00D01EDD" w:rsidRDefault="00EE043E" w:rsidP="007A7038">
            <w:pPr>
              <w:spacing w:after="0" w:line="240" w:lineRule="auto"/>
              <w:rPr>
                <w:noProof/>
                <w:sz w:val="18"/>
                <w:szCs w:val="18"/>
                <w:lang w:val="en-GB"/>
              </w:rPr>
            </w:pPr>
          </w:p>
        </w:tc>
      </w:tr>
      <w:tr w:rsidR="00AC2AB1" w:rsidRPr="0051713E" w:rsidTr="00EE043E">
        <w:trPr>
          <w:trHeight w:val="248"/>
          <w:jc w:val="center"/>
        </w:trPr>
        <w:tc>
          <w:tcPr>
            <w:tcW w:w="2314" w:type="dxa"/>
          </w:tcPr>
          <w:p w:rsidR="00AC2AB1" w:rsidRPr="00D01EDD" w:rsidRDefault="00AC2AB1" w:rsidP="00543599">
            <w:pPr>
              <w:spacing w:after="0" w:line="240" w:lineRule="auto"/>
              <w:rPr>
                <w:noProof/>
                <w:sz w:val="18"/>
                <w:szCs w:val="18"/>
                <w:lang w:val="en-GB"/>
              </w:rPr>
            </w:pPr>
            <w:r>
              <w:rPr>
                <w:noProof/>
                <w:sz w:val="18"/>
                <w:szCs w:val="18"/>
                <w:lang w:val="en-GB"/>
              </w:rPr>
              <w:t xml:space="preserve">Steel </w:t>
            </w:r>
          </w:p>
        </w:tc>
        <w:tc>
          <w:tcPr>
            <w:tcW w:w="2256" w:type="dxa"/>
          </w:tcPr>
          <w:p w:rsidR="00AC2AB1" w:rsidRPr="00D01EDD" w:rsidRDefault="0092644C" w:rsidP="00543599">
            <w:pPr>
              <w:spacing w:after="0" w:line="240" w:lineRule="auto"/>
              <w:rPr>
                <w:noProof/>
                <w:sz w:val="18"/>
                <w:szCs w:val="18"/>
                <w:lang w:val="en-GB"/>
              </w:rPr>
            </w:pPr>
            <w:r>
              <w:rPr>
                <w:noProof/>
                <w:sz w:val="18"/>
                <w:szCs w:val="18"/>
                <w:lang w:val="en-GB"/>
              </w:rPr>
              <w:t xml:space="preserve">27 </w:t>
            </w:r>
            <w:r w:rsidR="00743D57">
              <w:rPr>
                <w:noProof/>
                <w:sz w:val="18"/>
                <w:szCs w:val="18"/>
                <w:lang w:val="en-GB"/>
              </w:rPr>
              <w:t>Nmm</w:t>
            </w:r>
            <w:r w:rsidR="00743D57">
              <w:rPr>
                <w:noProof/>
                <w:sz w:val="18"/>
                <w:szCs w:val="18"/>
                <w:vertAlign w:val="superscript"/>
                <w:lang w:val="en-GB"/>
              </w:rPr>
              <w:t>2</w:t>
            </w:r>
            <w:r w:rsidR="00743D57">
              <w:rPr>
                <w:noProof/>
                <w:sz w:val="18"/>
                <w:szCs w:val="18"/>
                <w:lang w:val="en-GB"/>
              </w:rPr>
              <w:t xml:space="preserve"> </w:t>
            </w:r>
          </w:p>
        </w:tc>
      </w:tr>
      <w:tr w:rsidR="00AC2AB1" w:rsidRPr="0051713E" w:rsidTr="00EE043E">
        <w:trPr>
          <w:trHeight w:val="248"/>
          <w:jc w:val="center"/>
        </w:trPr>
        <w:tc>
          <w:tcPr>
            <w:tcW w:w="2314" w:type="dxa"/>
          </w:tcPr>
          <w:p w:rsidR="00AC2AB1" w:rsidRPr="00D01EDD" w:rsidRDefault="00AC2AB1" w:rsidP="00543599">
            <w:pPr>
              <w:spacing w:after="0" w:line="240" w:lineRule="auto"/>
              <w:rPr>
                <w:noProof/>
                <w:sz w:val="18"/>
                <w:szCs w:val="18"/>
                <w:lang w:val="en-GB"/>
              </w:rPr>
            </w:pPr>
            <w:r>
              <w:rPr>
                <w:noProof/>
                <w:sz w:val="18"/>
                <w:szCs w:val="18"/>
                <w:lang w:val="en-GB"/>
              </w:rPr>
              <w:t>Aluminum</w:t>
            </w:r>
          </w:p>
        </w:tc>
        <w:tc>
          <w:tcPr>
            <w:tcW w:w="2256" w:type="dxa"/>
          </w:tcPr>
          <w:p w:rsidR="00AC2AB1" w:rsidRPr="00D01EDD" w:rsidRDefault="0092644C" w:rsidP="00543599">
            <w:pPr>
              <w:spacing w:after="0" w:line="240" w:lineRule="auto"/>
              <w:rPr>
                <w:noProof/>
                <w:sz w:val="18"/>
                <w:szCs w:val="18"/>
                <w:lang w:val="en-GB"/>
              </w:rPr>
            </w:pPr>
            <w:r>
              <w:rPr>
                <w:noProof/>
                <w:sz w:val="18"/>
                <w:szCs w:val="18"/>
                <w:lang w:val="en-GB"/>
              </w:rPr>
              <w:t xml:space="preserve">14 </w:t>
            </w:r>
            <w:r w:rsidR="00743D57">
              <w:rPr>
                <w:noProof/>
                <w:sz w:val="18"/>
                <w:szCs w:val="18"/>
                <w:lang w:val="en-GB"/>
              </w:rPr>
              <w:t>Nmm</w:t>
            </w:r>
            <w:r w:rsidR="00743D57">
              <w:rPr>
                <w:noProof/>
                <w:sz w:val="18"/>
                <w:szCs w:val="18"/>
                <w:vertAlign w:val="superscript"/>
                <w:lang w:val="en-GB"/>
              </w:rPr>
              <w:t>2</w:t>
            </w:r>
            <w:r w:rsidR="00743D57">
              <w:rPr>
                <w:noProof/>
                <w:sz w:val="18"/>
                <w:szCs w:val="18"/>
                <w:lang w:val="en-GB"/>
              </w:rPr>
              <w:t xml:space="preserve"> </w:t>
            </w:r>
          </w:p>
        </w:tc>
      </w:tr>
      <w:tr w:rsidR="00AC2AB1" w:rsidRPr="0051713E" w:rsidTr="00EE043E">
        <w:trPr>
          <w:trHeight w:val="248"/>
          <w:jc w:val="center"/>
        </w:trPr>
        <w:tc>
          <w:tcPr>
            <w:tcW w:w="2314" w:type="dxa"/>
          </w:tcPr>
          <w:p w:rsidR="00AC2AB1" w:rsidRPr="00D01EDD" w:rsidRDefault="00AC2AB1" w:rsidP="00543599">
            <w:pPr>
              <w:spacing w:after="0" w:line="240" w:lineRule="auto"/>
              <w:rPr>
                <w:noProof/>
                <w:sz w:val="18"/>
                <w:szCs w:val="18"/>
                <w:lang w:val="en-GB"/>
              </w:rPr>
            </w:pPr>
            <w:r>
              <w:rPr>
                <w:noProof/>
                <w:sz w:val="18"/>
                <w:szCs w:val="18"/>
                <w:lang w:val="en-GB"/>
              </w:rPr>
              <w:t>Polycarbonate</w:t>
            </w:r>
          </w:p>
        </w:tc>
        <w:tc>
          <w:tcPr>
            <w:tcW w:w="2256" w:type="dxa"/>
          </w:tcPr>
          <w:p w:rsidR="00AC2AB1" w:rsidRPr="00D01EDD" w:rsidRDefault="00743D57" w:rsidP="00543599">
            <w:pPr>
              <w:spacing w:after="0" w:line="240" w:lineRule="auto"/>
              <w:rPr>
                <w:noProof/>
                <w:sz w:val="18"/>
                <w:szCs w:val="18"/>
                <w:lang w:val="en-GB"/>
              </w:rPr>
            </w:pPr>
            <w:r>
              <w:rPr>
                <w:noProof/>
                <w:sz w:val="18"/>
                <w:szCs w:val="18"/>
                <w:lang w:val="en-GB"/>
              </w:rPr>
              <w:t>12</w:t>
            </w:r>
            <w:r w:rsidR="00AC2AB1">
              <w:rPr>
                <w:noProof/>
                <w:sz w:val="18"/>
                <w:szCs w:val="18"/>
                <w:lang w:val="en-GB"/>
              </w:rPr>
              <w:t>Nmm</w:t>
            </w:r>
            <w:r>
              <w:rPr>
                <w:noProof/>
                <w:sz w:val="18"/>
                <w:szCs w:val="18"/>
                <w:vertAlign w:val="superscript"/>
                <w:lang w:val="en-GB"/>
              </w:rPr>
              <w:t>2</w:t>
            </w:r>
            <w:r w:rsidR="00AC2AB1">
              <w:rPr>
                <w:noProof/>
                <w:sz w:val="18"/>
                <w:szCs w:val="18"/>
                <w:lang w:val="en-GB"/>
              </w:rPr>
              <w:t xml:space="preserve"> (Substrate Failure)</w:t>
            </w:r>
          </w:p>
        </w:tc>
      </w:tr>
      <w:tr w:rsidR="00AC2AB1" w:rsidRPr="0051713E" w:rsidTr="00EE043E">
        <w:trPr>
          <w:trHeight w:val="248"/>
          <w:jc w:val="center"/>
        </w:trPr>
        <w:tc>
          <w:tcPr>
            <w:tcW w:w="2314" w:type="dxa"/>
          </w:tcPr>
          <w:p w:rsidR="00AC2AB1" w:rsidRPr="00D01EDD" w:rsidRDefault="00AC2AB1" w:rsidP="00543599">
            <w:pPr>
              <w:spacing w:after="0" w:line="240" w:lineRule="auto"/>
              <w:rPr>
                <w:noProof/>
                <w:sz w:val="18"/>
                <w:szCs w:val="18"/>
                <w:lang w:val="en-GB"/>
              </w:rPr>
            </w:pPr>
            <w:r>
              <w:rPr>
                <w:noProof/>
                <w:sz w:val="18"/>
                <w:szCs w:val="18"/>
                <w:lang w:val="en-GB"/>
              </w:rPr>
              <w:t>ABS</w:t>
            </w:r>
          </w:p>
        </w:tc>
        <w:tc>
          <w:tcPr>
            <w:tcW w:w="2256" w:type="dxa"/>
          </w:tcPr>
          <w:p w:rsidR="00AC2AB1" w:rsidRPr="00D01EDD" w:rsidRDefault="00743D57" w:rsidP="00543599">
            <w:pPr>
              <w:spacing w:after="0" w:line="240" w:lineRule="auto"/>
              <w:rPr>
                <w:noProof/>
                <w:sz w:val="18"/>
                <w:szCs w:val="18"/>
                <w:lang w:val="en-GB"/>
              </w:rPr>
            </w:pPr>
            <w:r>
              <w:rPr>
                <w:noProof/>
                <w:sz w:val="18"/>
                <w:szCs w:val="18"/>
                <w:lang w:val="en-GB"/>
              </w:rPr>
              <w:t>8</w:t>
            </w:r>
            <w:r w:rsidR="00AC2AB1">
              <w:rPr>
                <w:noProof/>
                <w:sz w:val="18"/>
                <w:szCs w:val="18"/>
                <w:lang w:val="en-GB"/>
              </w:rPr>
              <w:t>Nmm</w:t>
            </w:r>
            <w:r>
              <w:rPr>
                <w:noProof/>
                <w:sz w:val="18"/>
                <w:szCs w:val="18"/>
                <w:vertAlign w:val="superscript"/>
                <w:lang w:val="en-GB"/>
              </w:rPr>
              <w:t>2</w:t>
            </w:r>
            <w:r w:rsidR="00AC2AB1">
              <w:rPr>
                <w:noProof/>
                <w:sz w:val="18"/>
                <w:szCs w:val="18"/>
                <w:lang w:val="en-GB"/>
              </w:rPr>
              <w:t xml:space="preserve"> (Substrate Failure)</w:t>
            </w:r>
          </w:p>
        </w:tc>
      </w:tr>
      <w:tr w:rsidR="00AC2AB1" w:rsidRPr="0051713E" w:rsidTr="00EE043E">
        <w:trPr>
          <w:trHeight w:val="248"/>
          <w:jc w:val="center"/>
        </w:trPr>
        <w:tc>
          <w:tcPr>
            <w:tcW w:w="2314" w:type="dxa"/>
          </w:tcPr>
          <w:p w:rsidR="00AC2AB1" w:rsidRPr="0051713E" w:rsidRDefault="00AC2AB1" w:rsidP="0051713E">
            <w:pPr>
              <w:spacing w:after="0" w:line="240" w:lineRule="auto"/>
              <w:rPr>
                <w:noProof/>
                <w:sz w:val="18"/>
                <w:szCs w:val="18"/>
                <w:lang w:val="en-GB"/>
              </w:rPr>
            </w:pPr>
            <w:r w:rsidRPr="0051713E">
              <w:rPr>
                <w:noProof/>
                <w:sz w:val="18"/>
                <w:szCs w:val="18"/>
                <w:lang w:val="en-GB"/>
              </w:rPr>
              <w:t>Temperature Range</w:t>
            </w:r>
          </w:p>
        </w:tc>
        <w:tc>
          <w:tcPr>
            <w:tcW w:w="2256" w:type="dxa"/>
          </w:tcPr>
          <w:p w:rsidR="00AC2AB1" w:rsidRPr="0051713E" w:rsidRDefault="00AC2AB1" w:rsidP="0051713E">
            <w:pPr>
              <w:spacing w:after="0" w:line="240" w:lineRule="auto"/>
              <w:rPr>
                <w:noProof/>
                <w:sz w:val="18"/>
                <w:szCs w:val="18"/>
                <w:lang w:val="en-GB"/>
              </w:rPr>
            </w:pPr>
            <w:r>
              <w:rPr>
                <w:noProof/>
                <w:sz w:val="18"/>
                <w:szCs w:val="18"/>
                <w:lang w:val="en-GB"/>
              </w:rPr>
              <w:t>-35°C to 180</w:t>
            </w:r>
            <w:r w:rsidRPr="007500F2">
              <w:rPr>
                <w:noProof/>
                <w:sz w:val="18"/>
                <w:szCs w:val="18"/>
                <w:lang w:val="en-GB"/>
              </w:rPr>
              <w:t>°C</w:t>
            </w:r>
          </w:p>
        </w:tc>
      </w:tr>
    </w:tbl>
    <w:p w:rsidR="000C6978" w:rsidRPr="00404C3A" w:rsidRDefault="000C6978">
      <w:pPr>
        <w:rPr>
          <w:b/>
          <w:noProof/>
          <w:sz w:val="16"/>
          <w:szCs w:val="16"/>
          <w:lang w:val="en-GB"/>
        </w:rPr>
      </w:pPr>
    </w:p>
    <w:p w:rsidR="00093690" w:rsidRPr="005A79CD" w:rsidRDefault="00093690">
      <w:pPr>
        <w:rPr>
          <w:b/>
          <w:noProof/>
          <w:sz w:val="28"/>
          <w:szCs w:val="28"/>
          <w:lang w:val="en-GB"/>
        </w:rPr>
      </w:pPr>
      <w:r w:rsidRPr="005A79CD">
        <w:rPr>
          <w:b/>
          <w:noProof/>
          <w:sz w:val="28"/>
          <w:szCs w:val="28"/>
          <w:lang w:val="en-GB"/>
        </w:rPr>
        <w:t>Packaging</w:t>
      </w:r>
    </w:p>
    <w:p w:rsidR="00093690" w:rsidRPr="00E8610B" w:rsidRDefault="00404C3A">
      <w:pPr>
        <w:rPr>
          <w:noProof/>
          <w:sz w:val="18"/>
          <w:szCs w:val="18"/>
          <w:lang w:val="en-GB"/>
        </w:rPr>
      </w:pPr>
      <w:r>
        <w:rPr>
          <w:noProof/>
          <w:sz w:val="18"/>
          <w:szCs w:val="18"/>
          <w:lang w:val="en-GB"/>
        </w:rPr>
        <w:t>Holdtite ST3294</w:t>
      </w:r>
      <w:r w:rsidR="00093690" w:rsidRPr="00E8610B">
        <w:rPr>
          <w:noProof/>
          <w:sz w:val="18"/>
          <w:szCs w:val="18"/>
          <w:lang w:val="en-GB"/>
        </w:rPr>
        <w:t xml:space="preserve"> </w:t>
      </w:r>
      <w:r w:rsidR="00093690">
        <w:rPr>
          <w:noProof/>
          <w:sz w:val="18"/>
          <w:szCs w:val="18"/>
          <w:lang w:val="en-GB"/>
        </w:rPr>
        <w:t xml:space="preserve">is available in </w:t>
      </w:r>
      <w:r w:rsidR="0039520F">
        <w:rPr>
          <w:noProof/>
          <w:sz w:val="18"/>
          <w:szCs w:val="18"/>
          <w:lang w:val="en-GB"/>
        </w:rPr>
        <w:t xml:space="preserve">25ml, </w:t>
      </w:r>
      <w:r w:rsidR="00093690">
        <w:rPr>
          <w:noProof/>
          <w:sz w:val="18"/>
          <w:szCs w:val="18"/>
          <w:lang w:val="en-GB"/>
        </w:rPr>
        <w:t>50ml and 400ml Nylon cartridges for use with</w:t>
      </w:r>
      <w:r w:rsidR="00743D57">
        <w:rPr>
          <w:noProof/>
          <w:sz w:val="18"/>
          <w:szCs w:val="18"/>
          <w:lang w:val="en-GB"/>
        </w:rPr>
        <w:t xml:space="preserve"> a dispensing gun. </w:t>
      </w:r>
    </w:p>
    <w:p w:rsidR="00093690" w:rsidRPr="005A79CD" w:rsidRDefault="00093690">
      <w:pPr>
        <w:rPr>
          <w:b/>
          <w:noProof/>
          <w:sz w:val="28"/>
          <w:szCs w:val="28"/>
          <w:lang w:val="en-GB"/>
        </w:rPr>
      </w:pPr>
      <w:r w:rsidRPr="005A79CD">
        <w:rPr>
          <w:b/>
          <w:noProof/>
          <w:sz w:val="28"/>
          <w:szCs w:val="28"/>
          <w:lang w:val="en-GB"/>
        </w:rPr>
        <w:t>Storage</w:t>
      </w:r>
      <w:r>
        <w:rPr>
          <w:b/>
          <w:noProof/>
          <w:sz w:val="28"/>
          <w:szCs w:val="28"/>
          <w:lang w:val="en-GB"/>
        </w:rPr>
        <w:t xml:space="preserve"> &amp; Shelflife</w:t>
      </w:r>
    </w:p>
    <w:p w:rsidR="00093690" w:rsidRPr="00E8610B" w:rsidRDefault="00404C3A">
      <w:pPr>
        <w:rPr>
          <w:noProof/>
          <w:sz w:val="18"/>
          <w:szCs w:val="18"/>
          <w:lang w:val="en-GB"/>
        </w:rPr>
      </w:pPr>
      <w:r>
        <w:rPr>
          <w:noProof/>
          <w:sz w:val="18"/>
          <w:szCs w:val="18"/>
          <w:lang w:val="en-GB"/>
        </w:rPr>
        <w:t>Holdtite ST3294</w:t>
      </w:r>
      <w:r w:rsidR="00093690">
        <w:rPr>
          <w:noProof/>
          <w:sz w:val="18"/>
          <w:szCs w:val="18"/>
          <w:lang w:val="en-GB"/>
        </w:rPr>
        <w:t xml:space="preserve"> </w:t>
      </w:r>
      <w:r w:rsidR="00093690" w:rsidRPr="00E8610B">
        <w:rPr>
          <w:noProof/>
          <w:sz w:val="18"/>
          <w:szCs w:val="18"/>
          <w:lang w:val="en-GB"/>
        </w:rPr>
        <w:t xml:space="preserve"> sho</w:t>
      </w:r>
      <w:r w:rsidR="00093690">
        <w:rPr>
          <w:noProof/>
          <w:sz w:val="18"/>
          <w:szCs w:val="18"/>
          <w:lang w:val="en-GB"/>
        </w:rPr>
        <w:t>uld be stored unopened in a cool dry location</w:t>
      </w:r>
      <w:r w:rsidR="00093690" w:rsidRPr="00E8610B">
        <w:rPr>
          <w:noProof/>
          <w:sz w:val="18"/>
          <w:szCs w:val="18"/>
          <w:lang w:val="en-GB"/>
        </w:rPr>
        <w:t>, out of direct sunlight.</w:t>
      </w:r>
      <w:r w:rsidR="00093690">
        <w:rPr>
          <w:noProof/>
          <w:sz w:val="18"/>
          <w:szCs w:val="18"/>
          <w:lang w:val="en-GB"/>
        </w:rPr>
        <w:t xml:space="preserve">  Stored correctly , this grade can offer a 12 month shelf life from manufacture.</w:t>
      </w:r>
    </w:p>
    <w:p w:rsidR="00093690" w:rsidRPr="005A79CD" w:rsidRDefault="00093690">
      <w:pPr>
        <w:rPr>
          <w:b/>
          <w:noProof/>
          <w:sz w:val="28"/>
          <w:szCs w:val="28"/>
          <w:lang w:val="en-GB"/>
        </w:rPr>
      </w:pPr>
      <w:r w:rsidRPr="005A79CD">
        <w:rPr>
          <w:b/>
          <w:noProof/>
          <w:sz w:val="28"/>
          <w:szCs w:val="28"/>
          <w:lang w:val="en-GB"/>
        </w:rPr>
        <w:t>Health and Safety in Use</w:t>
      </w:r>
    </w:p>
    <w:p w:rsidR="00093690" w:rsidRPr="00E8610B" w:rsidRDefault="00404C3A">
      <w:pPr>
        <w:rPr>
          <w:sz w:val="18"/>
          <w:szCs w:val="18"/>
          <w:lang w:val="en-GB"/>
        </w:rPr>
      </w:pPr>
      <w:r>
        <w:rPr>
          <w:b/>
          <w:noProof/>
          <w:sz w:val="18"/>
          <w:szCs w:val="18"/>
          <w:lang w:val="en-GB"/>
        </w:rPr>
        <w:t>Holdtite ST3294</w:t>
      </w:r>
      <w:bookmarkStart w:id="0" w:name="_GoBack"/>
      <w:bookmarkEnd w:id="0"/>
      <w:r w:rsidR="00093690">
        <w:rPr>
          <w:b/>
          <w:noProof/>
          <w:sz w:val="18"/>
          <w:szCs w:val="18"/>
          <w:lang w:val="en-GB"/>
        </w:rPr>
        <w:t xml:space="preserve"> is a methyl methacrylate and should not be used without consulting the MSDS, which contains full information regarding the use of this product,  including Transport, Disposal, Toxicological, Exposure Controls, Accidental Release and First Aid measures essential to the safe use of this product.</w:t>
      </w:r>
    </w:p>
    <w:sectPr w:rsidR="00093690" w:rsidRPr="00E8610B" w:rsidSect="007960EB">
      <w:headerReference w:type="default" r:id="rId7"/>
      <w:footerReference w:type="default" r:id="rId8"/>
      <w:pgSz w:w="12240" w:h="15840"/>
      <w:pgMar w:top="720" w:right="720" w:bottom="720" w:left="720" w:header="708" w:footer="708" w:gutter="0"/>
      <w:pgBorders w:offsetFrom="page">
        <w:top w:val="single" w:sz="4" w:space="24" w:color="BFBFBF"/>
        <w:left w:val="single" w:sz="4" w:space="24" w:color="BFBFBF"/>
        <w:bottom w:val="single" w:sz="4" w:space="24" w:color="BFBFBF"/>
        <w:right w:val="single" w:sz="4" w:space="24" w:color="BFBFBF"/>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870" w:rsidRDefault="00E66870" w:rsidP="009D0CCB">
      <w:pPr>
        <w:spacing w:after="0" w:line="240" w:lineRule="auto"/>
      </w:pPr>
      <w:r>
        <w:separator/>
      </w:r>
    </w:p>
  </w:endnote>
  <w:endnote w:type="continuationSeparator" w:id="0">
    <w:p w:rsidR="00E66870" w:rsidRDefault="00E66870" w:rsidP="009D0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690" w:rsidRDefault="00093690" w:rsidP="005C69B1">
    <w:pPr>
      <w:rPr>
        <w:sz w:val="14"/>
        <w:szCs w:val="14"/>
      </w:rPr>
    </w:pPr>
    <w:r>
      <w:rPr>
        <w:sz w:val="14"/>
        <w:szCs w:val="14"/>
      </w:rPr>
      <w:t xml:space="preserve">The data, information and values contained in this Technical Data Sheet has been obtained by conducting various tests in a controlled laboratory environment, and should be used for guidance purposes only.  Although we believe them to be reliable and accurate, users should always conduct their own tests in their specific working conditions to ensure that the product is suitable and effective for use.  It is the users sole responsibility to determine the suitability of the product for the application.  Bondchem Ltd cannot be held responsible for the results of procedures undertaken elsewhere, nor for the safeguarding of personnel or property, all of which is the duty of the user. Suitability of products or methods is discretionary. Therefore, warrantees or implied usage obligations should not be attributed to, and are not the responsibility of, Bondchem Ltd.  Bondchem Ltd are not liable for any financial loss or other damages incurred by the user as a result of the use of this product. </w:t>
    </w:r>
  </w:p>
  <w:p w:rsidR="00093690" w:rsidRPr="005C69B1" w:rsidRDefault="00093690" w:rsidP="005C69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870" w:rsidRDefault="00E66870" w:rsidP="009D0CCB">
      <w:pPr>
        <w:spacing w:after="0" w:line="240" w:lineRule="auto"/>
      </w:pPr>
      <w:r>
        <w:separator/>
      </w:r>
    </w:p>
  </w:footnote>
  <w:footnote w:type="continuationSeparator" w:id="0">
    <w:p w:rsidR="00E66870" w:rsidRDefault="00E66870" w:rsidP="009D0C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690" w:rsidRDefault="007500F2" w:rsidP="009D0CCB">
    <w:pPr>
      <w:pStyle w:val="a3"/>
      <w:jc w:val="right"/>
    </w:pPr>
    <w:r>
      <w:rPr>
        <w:noProof/>
        <w:lang w:bidi="he-IL"/>
      </w:rPr>
      <w:drawing>
        <wp:inline distT="0" distB="0" distL="0" distR="0">
          <wp:extent cx="3429000" cy="11258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429000" cy="11258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40A44"/>
    <w:multiLevelType w:val="hybridMultilevel"/>
    <w:tmpl w:val="FD0E8F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68A3F8C"/>
    <w:multiLevelType w:val="hybridMultilevel"/>
    <w:tmpl w:val="80469E68"/>
    <w:lvl w:ilvl="0" w:tplc="83BA0EEE">
      <w:start w:val="1"/>
      <w:numFmt w:val="bullet"/>
      <w:lvlText w:val=""/>
      <w:lvlJc w:val="left"/>
      <w:pPr>
        <w:ind w:left="748" w:hanging="360"/>
      </w:pPr>
      <w:rPr>
        <w:rFonts w:ascii="Symbol" w:hAnsi="Symbol" w:hint="default"/>
        <w:sz w:val="20"/>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 w15:restartNumberingAfterBreak="0">
    <w:nsid w:val="5CAF6776"/>
    <w:multiLevelType w:val="hybridMultilevel"/>
    <w:tmpl w:val="CC8CB0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C7D49B1"/>
    <w:multiLevelType w:val="hybridMultilevel"/>
    <w:tmpl w:val="CBA8AA8A"/>
    <w:lvl w:ilvl="0" w:tplc="D2966D2C">
      <w:start w:val="320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EB1E89"/>
    <w:multiLevelType w:val="hybridMultilevel"/>
    <w:tmpl w:val="5718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CB37FF"/>
    <w:multiLevelType w:val="hybridMultilevel"/>
    <w:tmpl w:val="5C349B16"/>
    <w:lvl w:ilvl="0" w:tplc="D88E374A">
      <w:start w:val="320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CCB"/>
    <w:rsid w:val="00043BB2"/>
    <w:rsid w:val="00080D8C"/>
    <w:rsid w:val="00093690"/>
    <w:rsid w:val="000C1C33"/>
    <w:rsid w:val="000C6978"/>
    <w:rsid w:val="00127642"/>
    <w:rsid w:val="00151153"/>
    <w:rsid w:val="00172BB0"/>
    <w:rsid w:val="001D00C5"/>
    <w:rsid w:val="001D309E"/>
    <w:rsid w:val="001D4E67"/>
    <w:rsid w:val="001F3730"/>
    <w:rsid w:val="002A01B9"/>
    <w:rsid w:val="002C1D81"/>
    <w:rsid w:val="002F1905"/>
    <w:rsid w:val="003235D8"/>
    <w:rsid w:val="003700E5"/>
    <w:rsid w:val="003710A1"/>
    <w:rsid w:val="003746BB"/>
    <w:rsid w:val="0039520F"/>
    <w:rsid w:val="003A4AE0"/>
    <w:rsid w:val="00404C3A"/>
    <w:rsid w:val="00445F2B"/>
    <w:rsid w:val="004B725B"/>
    <w:rsid w:val="0051713E"/>
    <w:rsid w:val="00535942"/>
    <w:rsid w:val="00541035"/>
    <w:rsid w:val="00542C2C"/>
    <w:rsid w:val="00543CC1"/>
    <w:rsid w:val="00590048"/>
    <w:rsid w:val="005A7087"/>
    <w:rsid w:val="005A79CD"/>
    <w:rsid w:val="005C69B1"/>
    <w:rsid w:val="00614525"/>
    <w:rsid w:val="006529B0"/>
    <w:rsid w:val="006775C2"/>
    <w:rsid w:val="006C2E46"/>
    <w:rsid w:val="00707926"/>
    <w:rsid w:val="00740776"/>
    <w:rsid w:val="00743D57"/>
    <w:rsid w:val="007500F2"/>
    <w:rsid w:val="00794A56"/>
    <w:rsid w:val="007960EB"/>
    <w:rsid w:val="007C5B78"/>
    <w:rsid w:val="007D0A39"/>
    <w:rsid w:val="007D5367"/>
    <w:rsid w:val="0087057B"/>
    <w:rsid w:val="008734B3"/>
    <w:rsid w:val="008E47ED"/>
    <w:rsid w:val="008E72CC"/>
    <w:rsid w:val="00900FB9"/>
    <w:rsid w:val="00910243"/>
    <w:rsid w:val="0092644C"/>
    <w:rsid w:val="00935B2F"/>
    <w:rsid w:val="00945EFA"/>
    <w:rsid w:val="00962EBC"/>
    <w:rsid w:val="009C7A51"/>
    <w:rsid w:val="009D0CCB"/>
    <w:rsid w:val="009D5D1B"/>
    <w:rsid w:val="00A17DA9"/>
    <w:rsid w:val="00A55149"/>
    <w:rsid w:val="00A932A9"/>
    <w:rsid w:val="00AB5CA2"/>
    <w:rsid w:val="00AC2AB1"/>
    <w:rsid w:val="00AE3BA2"/>
    <w:rsid w:val="00B1275B"/>
    <w:rsid w:val="00B25D4E"/>
    <w:rsid w:val="00B768C9"/>
    <w:rsid w:val="00BA36E0"/>
    <w:rsid w:val="00BB70A3"/>
    <w:rsid w:val="00C0264C"/>
    <w:rsid w:val="00D23635"/>
    <w:rsid w:val="00D70A8A"/>
    <w:rsid w:val="00DB28FF"/>
    <w:rsid w:val="00DD1F1B"/>
    <w:rsid w:val="00E1401E"/>
    <w:rsid w:val="00E55AAE"/>
    <w:rsid w:val="00E66859"/>
    <w:rsid w:val="00E66870"/>
    <w:rsid w:val="00E8610B"/>
    <w:rsid w:val="00E96DF9"/>
    <w:rsid w:val="00EB7D22"/>
    <w:rsid w:val="00EE043E"/>
    <w:rsid w:val="00EE56BD"/>
    <w:rsid w:val="00F13F2F"/>
    <w:rsid w:val="00F15D0D"/>
    <w:rsid w:val="00F47CD3"/>
    <w:rsid w:val="00F53A9C"/>
    <w:rsid w:val="00F53C7E"/>
    <w:rsid w:val="00F61094"/>
    <w:rsid w:val="00F76CA6"/>
    <w:rsid w:val="00F8130B"/>
    <w:rsid w:val="00FA7232"/>
    <w:rsid w:val="00FB4B9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FC169551-6725-49EF-B602-0E4073243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09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D0CCB"/>
    <w:pPr>
      <w:tabs>
        <w:tab w:val="center" w:pos="4680"/>
        <w:tab w:val="right" w:pos="9360"/>
      </w:tabs>
      <w:spacing w:after="0" w:line="240" w:lineRule="auto"/>
    </w:pPr>
  </w:style>
  <w:style w:type="character" w:customStyle="1" w:styleId="a4">
    <w:name w:val="כותרת עליונה תו"/>
    <w:basedOn w:val="a0"/>
    <w:link w:val="a3"/>
    <w:uiPriority w:val="99"/>
    <w:semiHidden/>
    <w:locked/>
    <w:rsid w:val="009D0CCB"/>
    <w:rPr>
      <w:rFonts w:cs="Times New Roman"/>
    </w:rPr>
  </w:style>
  <w:style w:type="paragraph" w:styleId="a5">
    <w:name w:val="footer"/>
    <w:basedOn w:val="a"/>
    <w:link w:val="a6"/>
    <w:uiPriority w:val="99"/>
    <w:semiHidden/>
    <w:rsid w:val="009D0CCB"/>
    <w:pPr>
      <w:tabs>
        <w:tab w:val="center" w:pos="4680"/>
        <w:tab w:val="right" w:pos="9360"/>
      </w:tabs>
      <w:spacing w:after="0" w:line="240" w:lineRule="auto"/>
    </w:pPr>
  </w:style>
  <w:style w:type="character" w:customStyle="1" w:styleId="a6">
    <w:name w:val="כותרת תחתונה תו"/>
    <w:basedOn w:val="a0"/>
    <w:link w:val="a5"/>
    <w:uiPriority w:val="99"/>
    <w:semiHidden/>
    <w:locked/>
    <w:rsid w:val="009D0CCB"/>
    <w:rPr>
      <w:rFonts w:cs="Times New Roman"/>
    </w:rPr>
  </w:style>
  <w:style w:type="paragraph" w:styleId="a7">
    <w:name w:val="Balloon Text"/>
    <w:basedOn w:val="a"/>
    <w:link w:val="a8"/>
    <w:uiPriority w:val="99"/>
    <w:semiHidden/>
    <w:rsid w:val="009D0CCB"/>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locked/>
    <w:rsid w:val="009D0CCB"/>
    <w:rPr>
      <w:rFonts w:ascii="Tahoma" w:hAnsi="Tahoma" w:cs="Tahoma"/>
      <w:sz w:val="16"/>
      <w:szCs w:val="16"/>
    </w:rPr>
  </w:style>
  <w:style w:type="table" w:styleId="a9">
    <w:name w:val="Table Grid"/>
    <w:basedOn w:val="a1"/>
    <w:uiPriority w:val="99"/>
    <w:rsid w:val="005410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51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66453">
      <w:marLeft w:val="0"/>
      <w:marRight w:val="0"/>
      <w:marTop w:val="0"/>
      <w:marBottom w:val="0"/>
      <w:divBdr>
        <w:top w:val="none" w:sz="0" w:space="0" w:color="auto"/>
        <w:left w:val="none" w:sz="0" w:space="0" w:color="auto"/>
        <w:bottom w:val="none" w:sz="0" w:space="0" w:color="auto"/>
        <w:right w:val="none" w:sz="0" w:space="0" w:color="auto"/>
      </w:divBdr>
    </w:div>
    <w:div w:id="153566454">
      <w:marLeft w:val="0"/>
      <w:marRight w:val="0"/>
      <w:marTop w:val="0"/>
      <w:marBottom w:val="0"/>
      <w:divBdr>
        <w:top w:val="none" w:sz="0" w:space="0" w:color="auto"/>
        <w:left w:val="none" w:sz="0" w:space="0" w:color="auto"/>
        <w:bottom w:val="none" w:sz="0" w:space="0" w:color="auto"/>
        <w:right w:val="none" w:sz="0" w:space="0" w:color="auto"/>
      </w:divBdr>
    </w:div>
    <w:div w:id="1535664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1832</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Technical Datasheet M100</vt:lpstr>
      <vt:lpstr>Technical Datasheet M100</vt:lpstr>
    </vt:vector>
  </TitlesOfParts>
  <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Datasheet M100</dc:title>
  <dc:creator>jennie</dc:creator>
  <cp:lastModifiedBy>Owner</cp:lastModifiedBy>
  <cp:revision>2</cp:revision>
  <cp:lastPrinted>2008-08-01T08:36:00Z</cp:lastPrinted>
  <dcterms:created xsi:type="dcterms:W3CDTF">2017-11-14T08:19:00Z</dcterms:created>
  <dcterms:modified xsi:type="dcterms:W3CDTF">2017-11-14T08:19:00Z</dcterms:modified>
</cp:coreProperties>
</file>